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D9" w:rsidRPr="009E402C" w:rsidRDefault="009E402C" w:rsidP="009E402C">
      <w:pPr>
        <w:rPr>
          <w:rFonts w:ascii="Times New Roman" w:hAnsi="Times New Roman"/>
          <w:b/>
          <w:sz w:val="24"/>
          <w:szCs w:val="24"/>
        </w:rPr>
      </w:pPr>
      <w:r w:rsidRPr="009E402C">
        <w:rPr>
          <w:rFonts w:ascii="Times New Roman" w:hAnsi="Times New Roman"/>
          <w:b/>
          <w:sz w:val="24"/>
          <w:szCs w:val="24"/>
        </w:rPr>
        <w:t>Gráficos e Tabelas</w:t>
      </w:r>
    </w:p>
    <w:p w:rsidR="009E402C" w:rsidRPr="009E402C" w:rsidRDefault="009E402C" w:rsidP="009E402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E402C">
        <w:rPr>
          <w:rFonts w:ascii="Times New Roman" w:hAnsi="Times New Roman"/>
          <w:b/>
          <w:sz w:val="24"/>
          <w:szCs w:val="24"/>
        </w:rPr>
        <w:t>Pag</w:t>
      </w:r>
      <w:proofErr w:type="spellEnd"/>
      <w:r w:rsidRPr="009E402C">
        <w:rPr>
          <w:rFonts w:ascii="Times New Roman" w:hAnsi="Times New Roman"/>
          <w:b/>
          <w:sz w:val="24"/>
          <w:szCs w:val="24"/>
        </w:rPr>
        <w:t xml:space="preserve">. 6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0"/>
        <w:gridCol w:w="5196"/>
      </w:tblGrid>
      <w:tr w:rsidR="009E402C" w:rsidRPr="00D22FD8" w:rsidTr="00C61D06">
        <w:tc>
          <w:tcPr>
            <w:tcW w:w="4090" w:type="dxa"/>
          </w:tcPr>
          <w:p w:rsidR="009E402C" w:rsidRPr="00D22FD8" w:rsidRDefault="009E402C" w:rsidP="00C61D06">
            <w:pPr>
              <w:pStyle w:val="Quadros"/>
            </w:pPr>
            <w:bookmarkStart w:id="0" w:name="_Toc321218232"/>
            <w:r>
              <w:t>Quadro 1. Nº de estudantes u</w:t>
            </w:r>
            <w:r w:rsidRPr="007850BF">
              <w:t>niversitários in</w:t>
            </w:r>
            <w:r>
              <w:t>scritos nas universidades portuguesas e n</w:t>
            </w:r>
            <w:r w:rsidRPr="007850BF">
              <w:t>º de estudantes angolanos inscritos nos Estudos Gerais</w:t>
            </w:r>
            <w:bookmarkEnd w:id="0"/>
          </w:p>
          <w:tbl>
            <w:tblPr>
              <w:tblW w:w="39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9"/>
              <w:gridCol w:w="1299"/>
              <w:gridCol w:w="1481"/>
            </w:tblGrid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  <w:rPr>
                      <w:b/>
                    </w:rPr>
                  </w:pPr>
                  <w:r w:rsidRPr="006E5DF4">
                    <w:rPr>
                      <w:b/>
                    </w:rPr>
                    <w:t>Anos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rPr>
                      <w:b/>
                    </w:rPr>
                  </w:pPr>
                  <w:r w:rsidRPr="006E5DF4">
                    <w:rPr>
                      <w:b/>
                    </w:rPr>
                    <w:t>Estudantes Angolanos em Universidades Portuguesas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rPr>
                      <w:b/>
                    </w:rPr>
                  </w:pPr>
                  <w:r w:rsidRPr="006E5DF4">
                    <w:rPr>
                      <w:b/>
                    </w:rPr>
                    <w:t>Estudantes Angolanos matriculados nos Estudos Gerais em Angola</w:t>
                  </w: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1961/62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855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1962/63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896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1963/64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839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286</w:t>
                  </w: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1964/65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951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418</w:t>
                  </w: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1965/66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1035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477</w:t>
                  </w: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1966/67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1065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607</w:t>
                  </w: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1967/68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1200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827</w:t>
                  </w: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1968/69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1172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1074</w:t>
                  </w: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1969/70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1305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1570</w:t>
                  </w: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1970/71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1297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2088</w:t>
                  </w: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1971/72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1345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2435</w:t>
                  </w:r>
                </w:p>
              </w:tc>
            </w:tr>
            <w:tr w:rsidR="009E402C" w:rsidRPr="006E5DF4" w:rsidTr="00C61D06">
              <w:trPr>
                <w:jc w:val="center"/>
              </w:trPr>
              <w:tc>
                <w:tcPr>
                  <w:tcW w:w="1129" w:type="dxa"/>
                </w:tcPr>
                <w:p w:rsidR="009E402C" w:rsidRPr="006E5DF4" w:rsidRDefault="009E402C" w:rsidP="00C61D06">
                  <w:pPr>
                    <w:pStyle w:val="Quadros"/>
                  </w:pPr>
                  <w:r w:rsidRPr="006E5DF4">
                    <w:t>1972/73</w:t>
                  </w:r>
                </w:p>
              </w:tc>
              <w:tc>
                <w:tcPr>
                  <w:tcW w:w="1299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  <w:r w:rsidRPr="006E5DF4">
                    <w:t>1337</w:t>
                  </w:r>
                </w:p>
              </w:tc>
              <w:tc>
                <w:tcPr>
                  <w:tcW w:w="1481" w:type="dxa"/>
                </w:tcPr>
                <w:p w:rsidR="009E402C" w:rsidRPr="006E5DF4" w:rsidRDefault="009E402C" w:rsidP="00C61D06">
                  <w:pPr>
                    <w:pStyle w:val="Quadros"/>
                    <w:jc w:val="right"/>
                  </w:pPr>
                </w:p>
              </w:tc>
            </w:tr>
          </w:tbl>
          <w:p w:rsidR="009E402C" w:rsidRPr="00A72425" w:rsidRDefault="009E402C" w:rsidP="00C61D06">
            <w:pPr>
              <w:pStyle w:val="Quadros"/>
            </w:pPr>
            <w:r w:rsidRPr="00A72425">
              <w:t>Fonte: baseado em Anuário Estatístico do Ultramar e Anuário Estatístico da Província de Angola</w:t>
            </w:r>
          </w:p>
          <w:p w:rsidR="009E402C" w:rsidRPr="00D22FD8" w:rsidRDefault="009E402C" w:rsidP="00C61D06">
            <w:pPr>
              <w:pStyle w:val="Quadros"/>
            </w:pPr>
            <w:r w:rsidRPr="00A72425">
              <w:t>Elaboração da autora</w:t>
            </w:r>
          </w:p>
        </w:tc>
        <w:tc>
          <w:tcPr>
            <w:tcW w:w="5196" w:type="dxa"/>
          </w:tcPr>
          <w:p w:rsidR="009E402C" w:rsidRPr="00D22FD8" w:rsidRDefault="009E402C" w:rsidP="00C61D06">
            <w:pPr>
              <w:pStyle w:val="legendastese"/>
              <w:jc w:val="left"/>
            </w:pPr>
            <w:bookmarkStart w:id="1" w:name="_Toc321218220"/>
            <w:r>
              <w:t>Figura 1. Nº de estudantes universitários inscritos nas universidades p</w:t>
            </w:r>
            <w:r w:rsidRPr="00EA5E37">
              <w:t>ortuguesas e nº de estudantes angolanos inscritos nos Estudos Gerais</w:t>
            </w:r>
            <w:bookmarkEnd w:id="1"/>
          </w:p>
          <w:p w:rsidR="009E402C" w:rsidRPr="00D22FD8" w:rsidRDefault="009E402C" w:rsidP="00C61D06">
            <w:pPr>
              <w:pStyle w:val="Quadros"/>
              <w:jc w:val="center"/>
              <w:rPr>
                <w:noProof/>
                <w:lang w:eastAsia="pt-PT"/>
              </w:rPr>
            </w:pPr>
            <w:r w:rsidRPr="00D22FD8">
              <w:rPr>
                <w:noProof/>
                <w:lang w:val="en-US"/>
              </w:rPr>
              <w:drawing>
                <wp:inline distT="0" distB="0" distL="0" distR="0" wp14:anchorId="65B79291" wp14:editId="4E7EA602">
                  <wp:extent cx="3133725" cy="2524125"/>
                  <wp:effectExtent l="19050" t="0" r="9525" b="0"/>
                  <wp:docPr id="2" name="Object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  <w:p w:rsidR="009E402C" w:rsidRPr="00D22FD8" w:rsidRDefault="009E402C" w:rsidP="00C61D06">
            <w:pPr>
              <w:pStyle w:val="Quadros"/>
              <w:jc w:val="center"/>
              <w:rPr>
                <w:b/>
              </w:rPr>
            </w:pPr>
          </w:p>
          <w:p w:rsidR="009E402C" w:rsidRPr="00A72425" w:rsidRDefault="009E402C" w:rsidP="00C61D06">
            <w:pPr>
              <w:pStyle w:val="Quadros"/>
            </w:pPr>
            <w:r w:rsidRPr="00A72425">
              <w:t>Fonte</w:t>
            </w:r>
            <w:r w:rsidRPr="00A72425">
              <w:rPr>
                <w:b/>
              </w:rPr>
              <w:t>:</w:t>
            </w:r>
            <w:r w:rsidRPr="00A72425">
              <w:t xml:space="preserve"> baseado em Anuário Estatístico do Ultramar e Anuário Estatístico da Província de Angola</w:t>
            </w:r>
          </w:p>
          <w:p w:rsidR="009E402C" w:rsidRPr="00A72425" w:rsidRDefault="009E402C" w:rsidP="00C61D06">
            <w:pPr>
              <w:pStyle w:val="Quadros"/>
            </w:pPr>
            <w:r w:rsidRPr="00A72425">
              <w:t>Elaboração da autora</w:t>
            </w:r>
          </w:p>
          <w:p w:rsidR="009E402C" w:rsidRPr="00D22FD8" w:rsidRDefault="009E402C" w:rsidP="00C61D06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02C" w:rsidRDefault="009E402C" w:rsidP="009E402C"/>
    <w:p w:rsidR="009E402C" w:rsidRDefault="009E402C">
      <w:pPr>
        <w:spacing w:after="160" w:line="259" w:lineRule="auto"/>
      </w:pPr>
      <w:r>
        <w:br w:type="page"/>
      </w:r>
    </w:p>
    <w:p w:rsidR="009E402C" w:rsidRPr="009E402C" w:rsidRDefault="009E402C" w:rsidP="009E402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E402C">
        <w:rPr>
          <w:rFonts w:ascii="Times New Roman" w:hAnsi="Times New Roman"/>
          <w:b/>
          <w:sz w:val="24"/>
          <w:szCs w:val="24"/>
        </w:rPr>
        <w:lastRenderedPageBreak/>
        <w:t>Pag</w:t>
      </w:r>
      <w:proofErr w:type="spellEnd"/>
      <w:r w:rsidRPr="009E402C">
        <w:rPr>
          <w:rFonts w:ascii="Times New Roman" w:hAnsi="Times New Roman"/>
          <w:b/>
          <w:sz w:val="24"/>
          <w:szCs w:val="24"/>
        </w:rPr>
        <w:t>. 7</w:t>
      </w:r>
    </w:p>
    <w:p w:rsidR="009E402C" w:rsidRDefault="009E402C" w:rsidP="009E402C"/>
    <w:tbl>
      <w:tblPr>
        <w:tblStyle w:val="Tabelacomgrelha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9E402C" w:rsidRPr="00D22FD8" w:rsidTr="00C61D06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9E402C" w:rsidRDefault="009E402C" w:rsidP="00C61D06">
            <w:pPr>
              <w:pStyle w:val="legendastese"/>
            </w:pPr>
            <w:bookmarkStart w:id="2" w:name="_Toc321218233"/>
          </w:p>
          <w:p w:rsidR="009E402C" w:rsidRPr="00395E79" w:rsidRDefault="009E402C" w:rsidP="00C61D06">
            <w:pPr>
              <w:pStyle w:val="legendastese"/>
              <w:jc w:val="both"/>
            </w:pPr>
            <w:r>
              <w:t xml:space="preserve">Quadro 2. </w:t>
            </w:r>
            <w:r w:rsidRPr="00880BAC">
              <w:t>Investimento do governo angolano na formação superior (em milhares de dólares)</w:t>
            </w:r>
            <w:bookmarkEnd w:id="2"/>
          </w:p>
          <w:tbl>
            <w:tblPr>
              <w:tblStyle w:val="Tabelacomgrelha"/>
              <w:tblpPr w:leftFromText="141" w:rightFromText="141" w:vertAnchor="text" w:horzAnchor="margin" w:tblpY="200"/>
              <w:tblOverlap w:val="never"/>
              <w:tblW w:w="580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851"/>
              <w:gridCol w:w="850"/>
              <w:gridCol w:w="993"/>
              <w:gridCol w:w="850"/>
            </w:tblGrid>
            <w:tr w:rsidR="009E402C" w:rsidRPr="00395E79" w:rsidTr="00C61D06">
              <w:tc>
                <w:tcPr>
                  <w:tcW w:w="1413" w:type="dxa"/>
                  <w:shd w:val="clear" w:color="auto" w:fill="A6A6A6" w:themeFill="background1" w:themeFillShade="A6"/>
                </w:tcPr>
                <w:p w:rsidR="009E402C" w:rsidRPr="00395E79" w:rsidRDefault="009E402C" w:rsidP="00C61D06">
                  <w:pPr>
                    <w:pStyle w:val="Quadros"/>
                  </w:pP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</w:tcPr>
                <w:p w:rsidR="009E402C" w:rsidRPr="00395E79" w:rsidRDefault="009E402C" w:rsidP="00C61D06">
                  <w:pPr>
                    <w:pStyle w:val="Quadros"/>
                    <w:rPr>
                      <w:b/>
                    </w:rPr>
                  </w:pPr>
                  <w:r w:rsidRPr="00395E79">
                    <w:rPr>
                      <w:b/>
                    </w:rPr>
                    <w:t>1997</w:t>
                  </w:r>
                </w:p>
              </w:tc>
              <w:tc>
                <w:tcPr>
                  <w:tcW w:w="851" w:type="dxa"/>
                  <w:shd w:val="clear" w:color="auto" w:fill="A6A6A6" w:themeFill="background1" w:themeFillShade="A6"/>
                </w:tcPr>
                <w:p w:rsidR="009E402C" w:rsidRPr="00395E79" w:rsidRDefault="009E402C" w:rsidP="00C61D06">
                  <w:pPr>
                    <w:pStyle w:val="Quadros"/>
                    <w:rPr>
                      <w:b/>
                    </w:rPr>
                  </w:pPr>
                  <w:r w:rsidRPr="00395E79">
                    <w:rPr>
                      <w:b/>
                    </w:rPr>
                    <w:t>1998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</w:tcPr>
                <w:p w:rsidR="009E402C" w:rsidRPr="00395E79" w:rsidRDefault="009E402C" w:rsidP="00C61D06">
                  <w:pPr>
                    <w:pStyle w:val="Quadros"/>
                    <w:rPr>
                      <w:b/>
                    </w:rPr>
                  </w:pPr>
                  <w:r w:rsidRPr="00395E79">
                    <w:rPr>
                      <w:b/>
                    </w:rPr>
                    <w:t>1999</w:t>
                  </w:r>
                </w:p>
              </w:tc>
              <w:tc>
                <w:tcPr>
                  <w:tcW w:w="993" w:type="dxa"/>
                  <w:shd w:val="clear" w:color="auto" w:fill="A6A6A6" w:themeFill="background1" w:themeFillShade="A6"/>
                </w:tcPr>
                <w:p w:rsidR="009E402C" w:rsidRPr="00395E79" w:rsidRDefault="009E402C" w:rsidP="00C61D06">
                  <w:pPr>
                    <w:pStyle w:val="Quadros"/>
                    <w:rPr>
                      <w:b/>
                    </w:rPr>
                  </w:pPr>
                  <w:r w:rsidRPr="00395E79">
                    <w:rPr>
                      <w:b/>
                    </w:rPr>
                    <w:t>2000</w:t>
                  </w:r>
                </w:p>
              </w:tc>
              <w:tc>
                <w:tcPr>
                  <w:tcW w:w="850" w:type="dxa"/>
                  <w:shd w:val="clear" w:color="auto" w:fill="A6A6A6" w:themeFill="background1" w:themeFillShade="A6"/>
                </w:tcPr>
                <w:p w:rsidR="009E402C" w:rsidRPr="00395E79" w:rsidRDefault="009E402C" w:rsidP="00C61D06">
                  <w:pPr>
                    <w:pStyle w:val="Quadros"/>
                    <w:rPr>
                      <w:b/>
                    </w:rPr>
                  </w:pPr>
                  <w:r w:rsidRPr="00395E79">
                    <w:rPr>
                      <w:b/>
                    </w:rPr>
                    <w:t>2001</w:t>
                  </w:r>
                </w:p>
              </w:tc>
            </w:tr>
            <w:tr w:rsidR="009E402C" w:rsidRPr="00395E79" w:rsidTr="00C61D06">
              <w:tc>
                <w:tcPr>
                  <w:tcW w:w="1413" w:type="dxa"/>
                </w:tcPr>
                <w:p w:rsidR="009E402C" w:rsidRPr="00395E79" w:rsidRDefault="009E402C" w:rsidP="00C61D06">
                  <w:pPr>
                    <w:pStyle w:val="Quadros"/>
                    <w:ind w:right="-90"/>
                    <w:rPr>
                      <w:b/>
                    </w:rPr>
                  </w:pPr>
                  <w:r w:rsidRPr="00395E79">
                    <w:rPr>
                      <w:b/>
                    </w:rPr>
                    <w:t>Universidade</w:t>
                  </w:r>
                </w:p>
              </w:tc>
              <w:tc>
                <w:tcPr>
                  <w:tcW w:w="850" w:type="dxa"/>
                </w:tcPr>
                <w:p w:rsidR="009E402C" w:rsidRPr="00395E79" w:rsidRDefault="009E402C" w:rsidP="00C61D06">
                  <w:pPr>
                    <w:pStyle w:val="Quadros"/>
                  </w:pPr>
                  <w:r>
                    <w:t>13.</w:t>
                  </w:r>
                  <w:r w:rsidRPr="00395E79">
                    <w:t>418</w:t>
                  </w:r>
                </w:p>
              </w:tc>
              <w:tc>
                <w:tcPr>
                  <w:tcW w:w="851" w:type="dxa"/>
                </w:tcPr>
                <w:p w:rsidR="009E402C" w:rsidRPr="00395E79" w:rsidRDefault="009E402C" w:rsidP="00C61D06">
                  <w:pPr>
                    <w:pStyle w:val="Quadros"/>
                  </w:pPr>
                  <w:r>
                    <w:t>12.</w:t>
                  </w:r>
                  <w:r w:rsidRPr="00395E79">
                    <w:t>913</w:t>
                  </w:r>
                </w:p>
              </w:tc>
              <w:tc>
                <w:tcPr>
                  <w:tcW w:w="850" w:type="dxa"/>
                </w:tcPr>
                <w:p w:rsidR="009E402C" w:rsidRPr="00395E79" w:rsidRDefault="009E402C" w:rsidP="00C61D06">
                  <w:pPr>
                    <w:pStyle w:val="Quadros"/>
                  </w:pPr>
                  <w:r>
                    <w:t>13.</w:t>
                  </w:r>
                  <w:r w:rsidRPr="00395E79">
                    <w:t>767</w:t>
                  </w:r>
                </w:p>
              </w:tc>
              <w:tc>
                <w:tcPr>
                  <w:tcW w:w="993" w:type="dxa"/>
                </w:tcPr>
                <w:p w:rsidR="009E402C" w:rsidRPr="00395E79" w:rsidRDefault="009E402C" w:rsidP="00C61D06">
                  <w:pPr>
                    <w:pStyle w:val="Quadros"/>
                  </w:pPr>
                  <w:r>
                    <w:t>23.</w:t>
                  </w:r>
                  <w:r w:rsidRPr="00395E79">
                    <w:t>3000</w:t>
                  </w:r>
                </w:p>
              </w:tc>
              <w:tc>
                <w:tcPr>
                  <w:tcW w:w="850" w:type="dxa"/>
                </w:tcPr>
                <w:p w:rsidR="009E402C" w:rsidRPr="00395E79" w:rsidRDefault="009E402C" w:rsidP="00C61D06">
                  <w:pPr>
                    <w:pStyle w:val="Quadros"/>
                  </w:pPr>
                  <w:r>
                    <w:t>31.</w:t>
                  </w:r>
                  <w:r w:rsidRPr="00395E79">
                    <w:t>702</w:t>
                  </w:r>
                </w:p>
              </w:tc>
            </w:tr>
            <w:tr w:rsidR="009E402C" w:rsidRPr="00395E79" w:rsidTr="00C61D06">
              <w:tc>
                <w:tcPr>
                  <w:tcW w:w="1413" w:type="dxa"/>
                </w:tcPr>
                <w:p w:rsidR="009E402C" w:rsidRPr="00395E79" w:rsidRDefault="009E402C" w:rsidP="00C61D06">
                  <w:pPr>
                    <w:pStyle w:val="Quadros"/>
                    <w:rPr>
                      <w:b/>
                    </w:rPr>
                  </w:pPr>
                  <w:r w:rsidRPr="00395E79">
                    <w:rPr>
                      <w:b/>
                    </w:rPr>
                    <w:t>Bolsas</w:t>
                  </w:r>
                </w:p>
              </w:tc>
              <w:tc>
                <w:tcPr>
                  <w:tcW w:w="850" w:type="dxa"/>
                </w:tcPr>
                <w:p w:rsidR="009E402C" w:rsidRPr="00395E79" w:rsidRDefault="009E402C" w:rsidP="00C61D06">
                  <w:pPr>
                    <w:pStyle w:val="Quadros"/>
                  </w:pPr>
                  <w:r>
                    <w:t>29.</w:t>
                  </w:r>
                  <w:r w:rsidRPr="00395E79">
                    <w:t>138</w:t>
                  </w:r>
                </w:p>
              </w:tc>
              <w:tc>
                <w:tcPr>
                  <w:tcW w:w="851" w:type="dxa"/>
                </w:tcPr>
                <w:p w:rsidR="009E402C" w:rsidRPr="00395E79" w:rsidRDefault="009E402C" w:rsidP="00C61D06">
                  <w:pPr>
                    <w:pStyle w:val="Quadros"/>
                  </w:pPr>
                  <w:r>
                    <w:t>13.</w:t>
                  </w:r>
                  <w:r w:rsidRPr="00395E79">
                    <w:t>204</w:t>
                  </w:r>
                </w:p>
              </w:tc>
              <w:tc>
                <w:tcPr>
                  <w:tcW w:w="850" w:type="dxa"/>
                </w:tcPr>
                <w:p w:rsidR="009E402C" w:rsidRPr="00395E79" w:rsidRDefault="009E402C" w:rsidP="00C61D06">
                  <w:pPr>
                    <w:pStyle w:val="Quadros"/>
                  </w:pPr>
                  <w:r>
                    <w:t>46.</w:t>
                  </w:r>
                  <w:r w:rsidRPr="00395E79">
                    <w:t>141</w:t>
                  </w:r>
                </w:p>
              </w:tc>
              <w:tc>
                <w:tcPr>
                  <w:tcW w:w="993" w:type="dxa"/>
                </w:tcPr>
                <w:p w:rsidR="009E402C" w:rsidRPr="00395E79" w:rsidRDefault="009E402C" w:rsidP="00C61D06">
                  <w:pPr>
                    <w:pStyle w:val="Quadros"/>
                  </w:pPr>
                  <w:r>
                    <w:t>30.</w:t>
                  </w:r>
                  <w:r w:rsidRPr="00395E79">
                    <w:t>205</w:t>
                  </w:r>
                </w:p>
              </w:tc>
              <w:tc>
                <w:tcPr>
                  <w:tcW w:w="850" w:type="dxa"/>
                </w:tcPr>
                <w:p w:rsidR="009E402C" w:rsidRPr="00395E79" w:rsidRDefault="009E402C" w:rsidP="00C61D06">
                  <w:pPr>
                    <w:pStyle w:val="Quadros"/>
                  </w:pPr>
                  <w:r>
                    <w:t>28.</w:t>
                  </w:r>
                  <w:r w:rsidRPr="00395E79">
                    <w:t>091</w:t>
                  </w:r>
                </w:p>
              </w:tc>
            </w:tr>
          </w:tbl>
          <w:p w:rsidR="009E402C" w:rsidRPr="00395E79" w:rsidRDefault="009E402C" w:rsidP="00C61D06">
            <w:pPr>
              <w:jc w:val="both"/>
              <w:rPr>
                <w:rFonts w:ascii="Times New Roman" w:hAnsi="Times New Roman"/>
              </w:rPr>
            </w:pPr>
            <w:r w:rsidRPr="004370B7">
              <w:rPr>
                <w:rFonts w:ascii="Times New Roman" w:hAnsi="Times New Roman"/>
              </w:rPr>
              <w:t>Fonte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Vinyals</w:t>
            </w:r>
            <w:proofErr w:type="spellEnd"/>
            <w:r>
              <w:rPr>
                <w:rFonts w:ascii="Times New Roman" w:hAnsi="Times New Roman"/>
              </w:rPr>
              <w:t xml:space="preserve"> (2002, p.</w:t>
            </w:r>
            <w:r w:rsidRPr="00395E79">
              <w:rPr>
                <w:rFonts w:ascii="Times New Roman" w:hAnsi="Times New Roman"/>
              </w:rPr>
              <w:t xml:space="preserve"> 53)</w:t>
            </w:r>
          </w:p>
          <w:p w:rsidR="009E402C" w:rsidRPr="00D22FD8" w:rsidRDefault="009E402C" w:rsidP="00C61D06">
            <w:pPr>
              <w:rPr>
                <w:rFonts w:ascii="Times New Roman" w:hAnsi="Times New Roman"/>
              </w:rPr>
            </w:pPr>
          </w:p>
          <w:p w:rsidR="009E402C" w:rsidRPr="00D22FD8" w:rsidRDefault="009E402C" w:rsidP="00C61D0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E402C" w:rsidRPr="00D22FD8" w:rsidRDefault="009E402C" w:rsidP="00C61D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4E179" wp14:editId="36BAEB2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14605</wp:posOffset>
                      </wp:positionV>
                      <wp:extent cx="2181225" cy="726440"/>
                      <wp:effectExtent l="9525" t="12700" r="9525" b="13335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726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402C" w:rsidRPr="00D63B6C" w:rsidRDefault="009E402C" w:rsidP="009E402C">
                                  <w:pPr>
                                    <w:pStyle w:val="Legenda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bookmarkStart w:id="3" w:name="_Toc321218221"/>
                                  <w:r w:rsidRPr="00D63B6C"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Figura 2. Investimento do governo angolano na fo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rmação superior (em milhares de dólares</w:t>
                                  </w:r>
                                  <w:r w:rsidRPr="00D63B6C">
                                    <w:rPr>
                                      <w:rFonts w:ascii="Times New Roman" w:hAnsi="Times New Roman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bookmarkEnd w:id="3"/>
                                </w:p>
                                <w:p w:rsidR="009E402C" w:rsidRDefault="009E402C" w:rsidP="009E40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4E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margin-left:-1.65pt;margin-top:1.15pt;width:171.75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" fillcolor="white [3212]" strokecolor="white [3212]">
                      <v:textbox>
                        <w:txbxContent>
                          <w:p w:rsidR="009E402C" w:rsidRPr="00D63B6C" w:rsidRDefault="009E402C" w:rsidP="009E402C">
                            <w:pPr>
                              <w:pStyle w:val="Legenda"/>
                              <w:jc w:val="both"/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" w:name="_Toc321218221"/>
                            <w:r w:rsidRPr="00D63B6C"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Figura 2. Investimento do governo angolano na fo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rmação superior (em milhares de dólares</w:t>
                            </w:r>
                            <w:r w:rsidRPr="00D63B6C"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)</w:t>
                            </w:r>
                            <w:bookmarkEnd w:id="4"/>
                          </w:p>
                          <w:p w:rsidR="009E402C" w:rsidRDefault="009E402C" w:rsidP="009E402C"/>
                        </w:txbxContent>
                      </v:textbox>
                    </v:shape>
                  </w:pict>
                </mc:Fallback>
              </mc:AlternateContent>
            </w:r>
          </w:p>
          <w:p w:rsidR="009E402C" w:rsidRDefault="009E402C" w:rsidP="00C61D06">
            <w:pPr>
              <w:rPr>
                <w:rFonts w:ascii="Times New Roman" w:hAnsi="Times New Roman"/>
                <w:b/>
              </w:rPr>
            </w:pPr>
          </w:p>
          <w:p w:rsidR="009E402C" w:rsidRDefault="009E402C" w:rsidP="00C61D06">
            <w:pPr>
              <w:rPr>
                <w:rFonts w:ascii="Times New Roman" w:hAnsi="Times New Roman"/>
                <w:b/>
              </w:rPr>
            </w:pPr>
          </w:p>
          <w:p w:rsidR="009E402C" w:rsidRDefault="009E402C" w:rsidP="00C61D06">
            <w:pPr>
              <w:rPr>
                <w:rFonts w:ascii="Times New Roman" w:hAnsi="Times New Roman"/>
              </w:rPr>
            </w:pPr>
            <w:r w:rsidRPr="00D22FD8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3BDBE4F3" wp14:editId="7DEB1770">
                  <wp:extent cx="2247900" cy="2009775"/>
                  <wp:effectExtent l="19050" t="0" r="19050" b="0"/>
                  <wp:docPr id="5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9E402C" w:rsidRDefault="009E402C" w:rsidP="00C61D06">
            <w:pPr>
              <w:jc w:val="both"/>
              <w:rPr>
                <w:rFonts w:ascii="Times New Roman" w:hAnsi="Times New Roman"/>
              </w:rPr>
            </w:pPr>
            <w:r w:rsidRPr="004370B7">
              <w:rPr>
                <w:rFonts w:ascii="Times New Roman" w:hAnsi="Times New Roman"/>
              </w:rPr>
              <w:t>Fonte</w:t>
            </w:r>
            <w:r>
              <w:rPr>
                <w:rFonts w:ascii="Times New Roman" w:hAnsi="Times New Roman"/>
              </w:rPr>
              <w:t xml:space="preserve">: baseado em </w:t>
            </w:r>
            <w:proofErr w:type="spellStart"/>
            <w:r>
              <w:rPr>
                <w:rFonts w:ascii="Times New Roman" w:hAnsi="Times New Roman"/>
              </w:rPr>
              <w:t>Vinyals</w:t>
            </w:r>
            <w:proofErr w:type="spellEnd"/>
            <w:r>
              <w:rPr>
                <w:rFonts w:ascii="Times New Roman" w:hAnsi="Times New Roman"/>
              </w:rPr>
              <w:t xml:space="preserve"> (2002, p.</w:t>
            </w:r>
            <w:r w:rsidRPr="00395E79">
              <w:rPr>
                <w:rFonts w:ascii="Times New Roman" w:hAnsi="Times New Roman"/>
              </w:rPr>
              <w:t xml:space="preserve"> 53) </w:t>
            </w:r>
          </w:p>
          <w:p w:rsidR="009E402C" w:rsidRPr="00395E79" w:rsidRDefault="009E402C" w:rsidP="00C61D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Elaboração da autora</w:t>
            </w:r>
          </w:p>
          <w:p w:rsidR="009E402C" w:rsidRPr="00D22FD8" w:rsidRDefault="009E402C" w:rsidP="00C61D06">
            <w:pPr>
              <w:keepNext/>
              <w:rPr>
                <w:rFonts w:ascii="Times New Roman" w:hAnsi="Times New Roman"/>
              </w:rPr>
            </w:pPr>
          </w:p>
        </w:tc>
      </w:tr>
    </w:tbl>
    <w:p w:rsidR="009E402C" w:rsidRDefault="009E402C" w:rsidP="009E402C"/>
    <w:p w:rsidR="009E402C" w:rsidRDefault="009E402C">
      <w:pPr>
        <w:spacing w:after="160" w:line="259" w:lineRule="auto"/>
      </w:pPr>
      <w:r>
        <w:br w:type="page"/>
      </w:r>
    </w:p>
    <w:p w:rsidR="009E402C" w:rsidRPr="009E402C" w:rsidRDefault="009E402C" w:rsidP="009E402C">
      <w:pPr>
        <w:rPr>
          <w:rFonts w:ascii="Times New Roman" w:hAnsi="Times New Roman"/>
          <w:b/>
          <w:sz w:val="24"/>
          <w:szCs w:val="24"/>
        </w:rPr>
      </w:pPr>
      <w:r w:rsidRPr="009E402C">
        <w:rPr>
          <w:rFonts w:ascii="Times New Roman" w:hAnsi="Times New Roman"/>
          <w:b/>
          <w:sz w:val="24"/>
          <w:szCs w:val="24"/>
        </w:rPr>
        <w:lastRenderedPageBreak/>
        <w:t>Pág. 8</w:t>
      </w:r>
    </w:p>
    <w:p w:rsidR="009E402C" w:rsidRPr="00395E79" w:rsidRDefault="009E402C" w:rsidP="009E402C">
      <w:pPr>
        <w:pStyle w:val="legendastese"/>
      </w:pPr>
      <w:r>
        <w:t xml:space="preserve">Figura 3 </w:t>
      </w:r>
      <w:r w:rsidRPr="00710F89">
        <w:t>Despesas públicas com o setor da educação</w:t>
      </w:r>
    </w:p>
    <w:p w:rsidR="009E402C" w:rsidRPr="00D22FD8" w:rsidRDefault="009E402C" w:rsidP="009E402C">
      <w:pPr>
        <w:jc w:val="center"/>
      </w:pPr>
      <w:r w:rsidRPr="00D22FD8">
        <w:rPr>
          <w:noProof/>
          <w:lang w:val="en-US"/>
        </w:rPr>
        <w:drawing>
          <wp:inline distT="0" distB="0" distL="0" distR="0" wp14:anchorId="07883255" wp14:editId="0EFFA659">
            <wp:extent cx="4695825" cy="2105025"/>
            <wp:effectExtent l="19050" t="0" r="9525" b="0"/>
            <wp:docPr id="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402C" w:rsidRDefault="009E402C" w:rsidP="009E402C">
      <w:pPr>
        <w:spacing w:line="240" w:lineRule="auto"/>
        <w:ind w:firstLine="540"/>
        <w:jc w:val="both"/>
        <w:rPr>
          <w:rFonts w:ascii="Times New Roman" w:hAnsi="Times New Roman"/>
        </w:rPr>
      </w:pPr>
      <w:bookmarkStart w:id="5" w:name="_Toc321215114"/>
      <w:r w:rsidRPr="004370B7">
        <w:rPr>
          <w:rFonts w:ascii="Times New Roman" w:hAnsi="Times New Roman"/>
        </w:rPr>
        <w:t>Fonte</w:t>
      </w:r>
      <w:r>
        <w:rPr>
          <w:rFonts w:ascii="Times New Roman" w:hAnsi="Times New Roman"/>
        </w:rPr>
        <w:t>: baseado em MICS (2003, p.</w:t>
      </w:r>
      <w:r w:rsidRPr="00395E79">
        <w:rPr>
          <w:rFonts w:ascii="Times New Roman" w:hAnsi="Times New Roman"/>
        </w:rPr>
        <w:t xml:space="preserve">126) e </w:t>
      </w:r>
      <w:proofErr w:type="spellStart"/>
      <w:r w:rsidRPr="00395E79">
        <w:rPr>
          <w:rFonts w:ascii="Times New Roman" w:hAnsi="Times New Roman"/>
        </w:rPr>
        <w:t>Viny</w:t>
      </w:r>
      <w:r>
        <w:rPr>
          <w:rFonts w:ascii="Times New Roman" w:hAnsi="Times New Roman"/>
        </w:rPr>
        <w:t>als</w:t>
      </w:r>
      <w:proofErr w:type="spellEnd"/>
      <w:r>
        <w:rPr>
          <w:rFonts w:ascii="Times New Roman" w:hAnsi="Times New Roman"/>
        </w:rPr>
        <w:t xml:space="preserve"> (2002, p.</w:t>
      </w:r>
      <w:r w:rsidRPr="00395E79">
        <w:rPr>
          <w:rFonts w:ascii="Times New Roman" w:hAnsi="Times New Roman"/>
        </w:rPr>
        <w:t xml:space="preserve"> 33)</w:t>
      </w:r>
      <w:bookmarkEnd w:id="5"/>
    </w:p>
    <w:p w:rsidR="009E402C" w:rsidRPr="00395E79" w:rsidRDefault="009E402C" w:rsidP="009E402C">
      <w:pPr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Elaboração da autora</w:t>
      </w:r>
    </w:p>
    <w:p w:rsidR="009E402C" w:rsidRDefault="009E402C" w:rsidP="009E402C"/>
    <w:p w:rsidR="009E402C" w:rsidRPr="009E402C" w:rsidRDefault="009E402C" w:rsidP="009E402C">
      <w:pPr>
        <w:rPr>
          <w:rFonts w:ascii="Times New Roman" w:hAnsi="Times New Roman"/>
          <w:b/>
          <w:sz w:val="24"/>
          <w:szCs w:val="24"/>
        </w:rPr>
      </w:pPr>
      <w:r w:rsidRPr="009E402C">
        <w:rPr>
          <w:rFonts w:ascii="Times New Roman" w:hAnsi="Times New Roman"/>
          <w:b/>
          <w:sz w:val="24"/>
          <w:szCs w:val="24"/>
        </w:rPr>
        <w:t xml:space="preserve">Pág. 9 </w:t>
      </w:r>
    </w:p>
    <w:p w:rsidR="009E402C" w:rsidRPr="00395E79" w:rsidRDefault="009E402C" w:rsidP="009E402C">
      <w:pPr>
        <w:pStyle w:val="legendastese"/>
      </w:pPr>
      <w:bookmarkStart w:id="6" w:name="_Toc321218234"/>
      <w:r>
        <w:t xml:space="preserve">Quadro 3. </w:t>
      </w:r>
      <w:r w:rsidRPr="00B207DC">
        <w:t xml:space="preserve">Proporção das </w:t>
      </w:r>
      <w:r>
        <w:t>despesas do E</w:t>
      </w:r>
      <w:r w:rsidRPr="00B207DC">
        <w:t>stado angolano com o setor social (2007-2010)</w:t>
      </w:r>
      <w:bookmarkEnd w:id="6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409"/>
      </w:tblGrid>
      <w:tr w:rsidR="009E402C" w:rsidRPr="00395E79" w:rsidTr="00C61D06">
        <w:trPr>
          <w:jc w:val="center"/>
        </w:trPr>
        <w:tc>
          <w:tcPr>
            <w:tcW w:w="1101" w:type="dxa"/>
            <w:shd w:val="clear" w:color="auto" w:fill="808080" w:themeFill="background1" w:themeFillShade="80"/>
          </w:tcPr>
          <w:p w:rsidR="009E402C" w:rsidRPr="00395E79" w:rsidRDefault="009E402C" w:rsidP="00C61D06">
            <w:pPr>
              <w:pStyle w:val="Quadros"/>
              <w:jc w:val="center"/>
              <w:rPr>
                <w:b/>
              </w:rPr>
            </w:pPr>
            <w:r w:rsidRPr="00395E79">
              <w:rPr>
                <w:b/>
              </w:rPr>
              <w:t>Ano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:rsidR="009E402C" w:rsidRPr="00395E79" w:rsidRDefault="009E402C" w:rsidP="00C61D06">
            <w:pPr>
              <w:pStyle w:val="Quadros"/>
              <w:jc w:val="center"/>
              <w:rPr>
                <w:b/>
              </w:rPr>
            </w:pPr>
            <w:r w:rsidRPr="00395E79">
              <w:rPr>
                <w:b/>
              </w:rPr>
              <w:t>Despesa Setor Social</w:t>
            </w:r>
          </w:p>
        </w:tc>
      </w:tr>
      <w:tr w:rsidR="009E402C" w:rsidRPr="00395E79" w:rsidTr="00C61D06">
        <w:trPr>
          <w:jc w:val="center"/>
        </w:trPr>
        <w:tc>
          <w:tcPr>
            <w:tcW w:w="1101" w:type="dxa"/>
          </w:tcPr>
          <w:p w:rsidR="009E402C" w:rsidRPr="00395E79" w:rsidRDefault="009E402C" w:rsidP="00C61D06">
            <w:pPr>
              <w:pStyle w:val="Quadros"/>
              <w:jc w:val="center"/>
            </w:pPr>
            <w:r w:rsidRPr="00395E79">
              <w:t>2007</w:t>
            </w:r>
          </w:p>
        </w:tc>
        <w:tc>
          <w:tcPr>
            <w:tcW w:w="2409" w:type="dxa"/>
          </w:tcPr>
          <w:p w:rsidR="009E402C" w:rsidRPr="00395E79" w:rsidRDefault="009E402C" w:rsidP="00C61D06">
            <w:pPr>
              <w:pStyle w:val="Quadros"/>
              <w:jc w:val="center"/>
            </w:pPr>
            <w:r>
              <w:t>30,6</w:t>
            </w:r>
            <w:r w:rsidRPr="00395E79">
              <w:t>%</w:t>
            </w:r>
          </w:p>
        </w:tc>
      </w:tr>
      <w:tr w:rsidR="009E402C" w:rsidRPr="00395E79" w:rsidTr="00C61D06">
        <w:trPr>
          <w:jc w:val="center"/>
        </w:trPr>
        <w:tc>
          <w:tcPr>
            <w:tcW w:w="1101" w:type="dxa"/>
          </w:tcPr>
          <w:p w:rsidR="009E402C" w:rsidRPr="00395E79" w:rsidRDefault="009E402C" w:rsidP="00C61D06">
            <w:pPr>
              <w:pStyle w:val="Quadros"/>
              <w:jc w:val="center"/>
            </w:pPr>
            <w:r w:rsidRPr="00395E79">
              <w:t>2008</w:t>
            </w:r>
          </w:p>
        </w:tc>
        <w:tc>
          <w:tcPr>
            <w:tcW w:w="2409" w:type="dxa"/>
          </w:tcPr>
          <w:p w:rsidR="009E402C" w:rsidRPr="00395E79" w:rsidRDefault="009E402C" w:rsidP="00C61D06">
            <w:pPr>
              <w:pStyle w:val="Quadros"/>
              <w:jc w:val="center"/>
            </w:pPr>
            <w:r w:rsidRPr="00395E79">
              <w:t>28,8%</w:t>
            </w:r>
          </w:p>
        </w:tc>
      </w:tr>
      <w:tr w:rsidR="009E402C" w:rsidRPr="00395E79" w:rsidTr="00C61D06">
        <w:trPr>
          <w:jc w:val="center"/>
        </w:trPr>
        <w:tc>
          <w:tcPr>
            <w:tcW w:w="1101" w:type="dxa"/>
          </w:tcPr>
          <w:p w:rsidR="009E402C" w:rsidRPr="00395E79" w:rsidRDefault="009E402C" w:rsidP="00C61D06">
            <w:pPr>
              <w:pStyle w:val="Quadros"/>
              <w:jc w:val="center"/>
            </w:pPr>
            <w:r w:rsidRPr="00395E79">
              <w:t>2009</w:t>
            </w:r>
          </w:p>
        </w:tc>
        <w:tc>
          <w:tcPr>
            <w:tcW w:w="2409" w:type="dxa"/>
          </w:tcPr>
          <w:p w:rsidR="009E402C" w:rsidRPr="00395E79" w:rsidRDefault="009E402C" w:rsidP="00C61D06">
            <w:pPr>
              <w:pStyle w:val="Quadros"/>
              <w:jc w:val="center"/>
            </w:pPr>
            <w:r w:rsidRPr="00395E79">
              <w:t>31,6%</w:t>
            </w:r>
          </w:p>
        </w:tc>
      </w:tr>
      <w:tr w:rsidR="009E402C" w:rsidRPr="00395E79" w:rsidTr="00C61D06">
        <w:trPr>
          <w:jc w:val="center"/>
        </w:trPr>
        <w:tc>
          <w:tcPr>
            <w:tcW w:w="1101" w:type="dxa"/>
          </w:tcPr>
          <w:p w:rsidR="009E402C" w:rsidRPr="00395E79" w:rsidRDefault="009E402C" w:rsidP="00C61D06">
            <w:pPr>
              <w:pStyle w:val="Quadros"/>
              <w:jc w:val="center"/>
            </w:pPr>
            <w:r w:rsidRPr="00395E79">
              <w:t>2010</w:t>
            </w:r>
          </w:p>
        </w:tc>
        <w:tc>
          <w:tcPr>
            <w:tcW w:w="2409" w:type="dxa"/>
          </w:tcPr>
          <w:p w:rsidR="009E402C" w:rsidRPr="00395E79" w:rsidRDefault="009E402C" w:rsidP="00C61D06">
            <w:pPr>
              <w:pStyle w:val="Quadros"/>
              <w:jc w:val="center"/>
            </w:pPr>
            <w:r w:rsidRPr="00395E79">
              <w:t>30,5%</w:t>
            </w:r>
          </w:p>
        </w:tc>
      </w:tr>
    </w:tbl>
    <w:p w:rsidR="009E402C" w:rsidRDefault="009E402C" w:rsidP="009E402C">
      <w:pPr>
        <w:jc w:val="center"/>
      </w:pPr>
      <w:r w:rsidRPr="004370B7">
        <w:t>Fonte</w:t>
      </w:r>
      <w:r w:rsidRPr="00395E79">
        <w:rPr>
          <w:b/>
        </w:rPr>
        <w:t xml:space="preserve">: </w:t>
      </w:r>
      <w:proofErr w:type="spellStart"/>
      <w:r w:rsidRPr="00395E79">
        <w:t>Minfin</w:t>
      </w:r>
      <w:proofErr w:type="spellEnd"/>
      <w:r w:rsidRPr="00395E79">
        <w:t xml:space="preserve"> (2011</w:t>
      </w:r>
    </w:p>
    <w:p w:rsidR="009E402C" w:rsidRPr="00E94733" w:rsidRDefault="009E402C" w:rsidP="009E402C">
      <w:pPr>
        <w:pStyle w:val="legendastese"/>
      </w:pPr>
      <w:r>
        <w:t xml:space="preserve">Quadro 4. </w:t>
      </w:r>
      <w:r w:rsidRPr="006C4E3E">
        <w:t>Países para onde são envia</w:t>
      </w:r>
      <w:r>
        <w:t>dos os estudantes bolseiros do E</w:t>
      </w:r>
      <w:r w:rsidRPr="006C4E3E">
        <w:t>stado Angolano e sua ordem de importância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17"/>
      </w:tblGrid>
      <w:tr w:rsidR="009E402C" w:rsidRPr="00E94733" w:rsidTr="00C61D06">
        <w:trPr>
          <w:jc w:val="center"/>
        </w:trPr>
        <w:tc>
          <w:tcPr>
            <w:tcW w:w="959" w:type="dxa"/>
            <w:shd w:val="clear" w:color="auto" w:fill="A6A6A6" w:themeFill="background1" w:themeFillShade="A6"/>
          </w:tcPr>
          <w:p w:rsidR="009E402C" w:rsidRPr="00E94733" w:rsidRDefault="009E402C" w:rsidP="00C61D06">
            <w:pPr>
              <w:pStyle w:val="Quadros"/>
              <w:jc w:val="center"/>
              <w:rPr>
                <w:b/>
              </w:rPr>
            </w:pPr>
            <w:r w:rsidRPr="00E94733">
              <w:rPr>
                <w:b/>
              </w:rPr>
              <w:t>Ordem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9E402C" w:rsidRPr="00E94733" w:rsidRDefault="009E402C" w:rsidP="00C61D06">
            <w:pPr>
              <w:pStyle w:val="Quadros"/>
              <w:jc w:val="center"/>
              <w:rPr>
                <w:b/>
              </w:rPr>
            </w:pPr>
            <w:r w:rsidRPr="00E94733">
              <w:rPr>
                <w:b/>
              </w:rPr>
              <w:t>Países</w:t>
            </w:r>
          </w:p>
        </w:tc>
      </w:tr>
      <w:tr w:rsidR="009E402C" w:rsidRPr="00E94733" w:rsidTr="00C61D06">
        <w:trPr>
          <w:jc w:val="center"/>
        </w:trPr>
        <w:tc>
          <w:tcPr>
            <w:tcW w:w="959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1º</w:t>
            </w:r>
          </w:p>
        </w:tc>
        <w:tc>
          <w:tcPr>
            <w:tcW w:w="1417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Rússia</w:t>
            </w:r>
          </w:p>
        </w:tc>
      </w:tr>
      <w:tr w:rsidR="009E402C" w:rsidRPr="00E94733" w:rsidTr="00C61D06">
        <w:trPr>
          <w:jc w:val="center"/>
        </w:trPr>
        <w:tc>
          <w:tcPr>
            <w:tcW w:w="959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2º</w:t>
            </w:r>
          </w:p>
        </w:tc>
        <w:tc>
          <w:tcPr>
            <w:tcW w:w="1417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Argélia</w:t>
            </w:r>
          </w:p>
        </w:tc>
      </w:tr>
      <w:tr w:rsidR="009E402C" w:rsidRPr="00E94733" w:rsidTr="00C61D06">
        <w:trPr>
          <w:jc w:val="center"/>
        </w:trPr>
        <w:tc>
          <w:tcPr>
            <w:tcW w:w="959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3º</w:t>
            </w:r>
          </w:p>
        </w:tc>
        <w:tc>
          <w:tcPr>
            <w:tcW w:w="1417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Cuba</w:t>
            </w:r>
          </w:p>
        </w:tc>
      </w:tr>
      <w:tr w:rsidR="009E402C" w:rsidRPr="00E94733" w:rsidTr="00C61D06">
        <w:trPr>
          <w:jc w:val="center"/>
        </w:trPr>
        <w:tc>
          <w:tcPr>
            <w:tcW w:w="959" w:type="dxa"/>
            <w:shd w:val="clear" w:color="auto" w:fill="auto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4º</w:t>
            </w:r>
          </w:p>
        </w:tc>
        <w:tc>
          <w:tcPr>
            <w:tcW w:w="1417" w:type="dxa"/>
            <w:shd w:val="clear" w:color="auto" w:fill="auto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Portugal</w:t>
            </w:r>
          </w:p>
        </w:tc>
      </w:tr>
      <w:tr w:rsidR="009E402C" w:rsidRPr="00E94733" w:rsidTr="00C61D06">
        <w:trPr>
          <w:jc w:val="center"/>
        </w:trPr>
        <w:tc>
          <w:tcPr>
            <w:tcW w:w="959" w:type="dxa"/>
            <w:shd w:val="clear" w:color="auto" w:fill="auto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5º</w:t>
            </w:r>
          </w:p>
        </w:tc>
        <w:tc>
          <w:tcPr>
            <w:tcW w:w="1417" w:type="dxa"/>
            <w:shd w:val="clear" w:color="auto" w:fill="auto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Brasil</w:t>
            </w:r>
          </w:p>
        </w:tc>
      </w:tr>
      <w:tr w:rsidR="009E402C" w:rsidRPr="00E94733" w:rsidTr="00C61D06">
        <w:trPr>
          <w:jc w:val="center"/>
        </w:trPr>
        <w:tc>
          <w:tcPr>
            <w:tcW w:w="959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6º</w:t>
            </w:r>
          </w:p>
        </w:tc>
        <w:tc>
          <w:tcPr>
            <w:tcW w:w="1417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Polónia</w:t>
            </w:r>
          </w:p>
        </w:tc>
      </w:tr>
      <w:tr w:rsidR="009E402C" w:rsidRPr="00E94733" w:rsidTr="00C61D06">
        <w:trPr>
          <w:jc w:val="center"/>
        </w:trPr>
        <w:tc>
          <w:tcPr>
            <w:tcW w:w="959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7º</w:t>
            </w:r>
          </w:p>
        </w:tc>
        <w:tc>
          <w:tcPr>
            <w:tcW w:w="1417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África do Sul</w:t>
            </w:r>
          </w:p>
        </w:tc>
      </w:tr>
      <w:tr w:rsidR="009E402C" w:rsidRPr="00E94733" w:rsidTr="00C61D06">
        <w:trPr>
          <w:jc w:val="center"/>
        </w:trPr>
        <w:tc>
          <w:tcPr>
            <w:tcW w:w="959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8º</w:t>
            </w:r>
          </w:p>
        </w:tc>
        <w:tc>
          <w:tcPr>
            <w:tcW w:w="1417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Espanha</w:t>
            </w:r>
          </w:p>
        </w:tc>
      </w:tr>
      <w:tr w:rsidR="009E402C" w:rsidRPr="00E94733" w:rsidTr="00C61D06">
        <w:trPr>
          <w:jc w:val="center"/>
        </w:trPr>
        <w:tc>
          <w:tcPr>
            <w:tcW w:w="959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9º</w:t>
            </w:r>
          </w:p>
        </w:tc>
        <w:tc>
          <w:tcPr>
            <w:tcW w:w="1417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China</w:t>
            </w:r>
          </w:p>
        </w:tc>
      </w:tr>
      <w:tr w:rsidR="009E402C" w:rsidRPr="00E94733" w:rsidTr="00C61D06">
        <w:trPr>
          <w:jc w:val="center"/>
        </w:trPr>
        <w:tc>
          <w:tcPr>
            <w:tcW w:w="959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10º</w:t>
            </w:r>
          </w:p>
        </w:tc>
        <w:tc>
          <w:tcPr>
            <w:tcW w:w="1417" w:type="dxa"/>
          </w:tcPr>
          <w:p w:rsidR="009E402C" w:rsidRPr="00E94733" w:rsidRDefault="009E402C" w:rsidP="00C61D06">
            <w:pPr>
              <w:pStyle w:val="Quadros"/>
              <w:jc w:val="center"/>
            </w:pPr>
            <w:r w:rsidRPr="00E94733">
              <w:t>Marrocos</w:t>
            </w:r>
          </w:p>
        </w:tc>
      </w:tr>
    </w:tbl>
    <w:p w:rsidR="009E402C" w:rsidRDefault="009E402C" w:rsidP="009E402C">
      <w:pPr>
        <w:spacing w:line="240" w:lineRule="auto"/>
        <w:jc w:val="center"/>
        <w:rPr>
          <w:rFonts w:ascii="Times New Roman" w:hAnsi="Times New Roman"/>
        </w:rPr>
      </w:pPr>
      <w:r w:rsidRPr="004370B7">
        <w:rPr>
          <w:rFonts w:ascii="Times New Roman" w:hAnsi="Times New Roman"/>
        </w:rPr>
        <w:t>Fonte</w:t>
      </w:r>
      <w:r w:rsidRPr="00395E79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baseado em DR </w:t>
      </w:r>
      <w:r w:rsidRPr="00395E79">
        <w:rPr>
          <w:rFonts w:ascii="Times New Roman" w:hAnsi="Times New Roman"/>
        </w:rPr>
        <w:t>Resoluç</w:t>
      </w:r>
      <w:r>
        <w:rPr>
          <w:rFonts w:ascii="Times New Roman" w:hAnsi="Times New Roman"/>
        </w:rPr>
        <w:t>ão 29/09 (2009, p.</w:t>
      </w:r>
      <w:r w:rsidRPr="00395E79">
        <w:rPr>
          <w:rFonts w:ascii="Times New Roman" w:hAnsi="Times New Roman"/>
        </w:rPr>
        <w:t xml:space="preserve"> 1743) e INABE (201</w:t>
      </w:r>
      <w:r>
        <w:rPr>
          <w:rFonts w:ascii="Times New Roman" w:hAnsi="Times New Roman"/>
        </w:rPr>
        <w:t>1</w:t>
      </w:r>
      <w:r w:rsidRPr="00395E79">
        <w:rPr>
          <w:rFonts w:ascii="Times New Roman" w:hAnsi="Times New Roman"/>
        </w:rPr>
        <w:t>)</w:t>
      </w:r>
    </w:p>
    <w:p w:rsidR="009E402C" w:rsidRPr="00395E79" w:rsidRDefault="009E402C" w:rsidP="009E402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Elaboração da autora</w:t>
      </w:r>
    </w:p>
    <w:p w:rsidR="009E402C" w:rsidRPr="009E402C" w:rsidRDefault="009E402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9E402C">
        <w:rPr>
          <w:rFonts w:ascii="Times New Roman" w:hAnsi="Times New Roman"/>
          <w:b/>
          <w:sz w:val="24"/>
          <w:szCs w:val="24"/>
        </w:rPr>
        <w:lastRenderedPageBreak/>
        <w:t>Pág. 11</w:t>
      </w:r>
    </w:p>
    <w:p w:rsidR="009E402C" w:rsidRPr="00DE5824" w:rsidRDefault="009E402C" w:rsidP="009E402C">
      <w:pPr>
        <w:pStyle w:val="legendastese"/>
        <w:rPr>
          <w:lang w:eastAsia="pt-PT"/>
        </w:rPr>
      </w:pPr>
      <w:r w:rsidRPr="00DE5824">
        <w:t>Qu</w:t>
      </w:r>
      <w:r>
        <w:t>adro 5. Número de bolseiros do INABE no e</w:t>
      </w:r>
      <w:r w:rsidRPr="00DE5824">
        <w:t>xterior em 2010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9E402C" w:rsidRPr="00DE5824" w:rsidTr="00C61D06">
        <w:trPr>
          <w:jc w:val="center"/>
        </w:trPr>
        <w:tc>
          <w:tcPr>
            <w:tcW w:w="1728" w:type="dxa"/>
            <w:shd w:val="clear" w:color="auto" w:fill="A6A6A6" w:themeFill="background1" w:themeFillShade="A6"/>
          </w:tcPr>
          <w:p w:rsidR="009E402C" w:rsidRPr="00DE5824" w:rsidRDefault="009E402C" w:rsidP="00C61D06">
            <w:pPr>
              <w:pStyle w:val="Quadros"/>
              <w:jc w:val="center"/>
              <w:rPr>
                <w:b/>
              </w:rPr>
            </w:pPr>
            <w:r w:rsidRPr="00DE5824">
              <w:rPr>
                <w:b/>
              </w:rPr>
              <w:t>País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DE5824" w:rsidRDefault="009E402C" w:rsidP="00C61D06">
            <w:pPr>
              <w:pStyle w:val="Quadros"/>
              <w:jc w:val="center"/>
              <w:rPr>
                <w:b/>
              </w:rPr>
            </w:pPr>
            <w:r w:rsidRPr="00DE5824">
              <w:rPr>
                <w:b/>
              </w:rPr>
              <w:t>Licenciaturas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DE5824" w:rsidRDefault="009E402C" w:rsidP="00C61D06">
            <w:pPr>
              <w:pStyle w:val="Quadros"/>
              <w:jc w:val="center"/>
              <w:rPr>
                <w:b/>
              </w:rPr>
            </w:pPr>
            <w:r w:rsidRPr="00DE5824">
              <w:rPr>
                <w:b/>
              </w:rPr>
              <w:t>Mestrado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DE5824" w:rsidRDefault="009E402C" w:rsidP="00C61D06">
            <w:pPr>
              <w:pStyle w:val="Quadros"/>
              <w:jc w:val="center"/>
              <w:rPr>
                <w:b/>
              </w:rPr>
            </w:pPr>
            <w:r w:rsidRPr="00DE5824">
              <w:rPr>
                <w:b/>
              </w:rPr>
              <w:t>Doutoramento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DE5824" w:rsidRDefault="009E402C" w:rsidP="00C61D06">
            <w:pPr>
              <w:pStyle w:val="Quadros"/>
              <w:jc w:val="center"/>
              <w:rPr>
                <w:b/>
              </w:rPr>
            </w:pPr>
            <w:r w:rsidRPr="00DE5824">
              <w:rPr>
                <w:b/>
              </w:rPr>
              <w:t>Total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África do Sul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29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5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37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Alemanha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  <w:shd w:val="clear" w:color="auto" w:fill="A6A6A6" w:themeFill="background1" w:themeFillShade="A6"/>
          </w:tcPr>
          <w:p w:rsidR="009E402C" w:rsidRPr="0054266C" w:rsidRDefault="009E402C" w:rsidP="00C61D06">
            <w:pPr>
              <w:pStyle w:val="Quadros"/>
              <w:jc w:val="center"/>
            </w:pPr>
            <w:r w:rsidRPr="0054266C">
              <w:t>Argélia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54266C" w:rsidRDefault="009E402C" w:rsidP="00C61D06">
            <w:pPr>
              <w:pStyle w:val="Quadros"/>
              <w:jc w:val="center"/>
            </w:pPr>
            <w:r w:rsidRPr="0054266C">
              <w:t>245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54266C" w:rsidRDefault="009E402C" w:rsidP="00C61D06">
            <w:pPr>
              <w:pStyle w:val="Quadros"/>
              <w:jc w:val="center"/>
            </w:pPr>
            <w:r w:rsidRPr="0054266C">
              <w:t>-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54266C" w:rsidRDefault="009E402C" w:rsidP="00C61D06">
            <w:pPr>
              <w:pStyle w:val="Quadros"/>
              <w:jc w:val="center"/>
            </w:pPr>
            <w:r w:rsidRPr="0054266C">
              <w:t>-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54266C" w:rsidRDefault="009E402C" w:rsidP="00C61D06">
            <w:pPr>
              <w:pStyle w:val="Quadros"/>
              <w:jc w:val="center"/>
            </w:pPr>
            <w:r w:rsidRPr="0054266C">
              <w:t>245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Austrália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Bélgica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  <w:shd w:val="clear" w:color="auto" w:fill="BFBFBF" w:themeFill="background1" w:themeFillShade="BF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Brasil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141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5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7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153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Burkina Faso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16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proofErr w:type="spellStart"/>
            <w:r w:rsidRPr="00DE5824">
              <w:t>Rep</w:t>
            </w:r>
            <w:proofErr w:type="spellEnd"/>
            <w:r w:rsidRPr="00DE5824">
              <w:t>. Checa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China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44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47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Congo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  <w:shd w:val="clear" w:color="auto" w:fill="A6A6A6" w:themeFill="background1" w:themeFillShade="A6"/>
          </w:tcPr>
          <w:p w:rsidR="009E402C" w:rsidRPr="0054266C" w:rsidRDefault="009E402C" w:rsidP="00C61D06">
            <w:pPr>
              <w:pStyle w:val="Quadros"/>
              <w:jc w:val="center"/>
            </w:pPr>
            <w:r w:rsidRPr="0054266C">
              <w:t>Cuba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54266C" w:rsidRDefault="009E402C" w:rsidP="00C61D06">
            <w:pPr>
              <w:pStyle w:val="Quadros"/>
              <w:jc w:val="center"/>
            </w:pPr>
            <w:r w:rsidRPr="0054266C">
              <w:t>574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54266C" w:rsidRDefault="009E402C" w:rsidP="00C61D06">
            <w:pPr>
              <w:pStyle w:val="Quadros"/>
              <w:jc w:val="center"/>
            </w:pPr>
            <w:r w:rsidRPr="0054266C">
              <w:t>13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54266C" w:rsidRDefault="009E402C" w:rsidP="00C61D06">
            <w:pPr>
              <w:pStyle w:val="Quadros"/>
              <w:jc w:val="center"/>
            </w:pPr>
            <w:r w:rsidRPr="0054266C">
              <w:t>124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9E402C" w:rsidRPr="0054266C" w:rsidRDefault="009E402C" w:rsidP="00C61D06">
            <w:pPr>
              <w:pStyle w:val="Quadros"/>
              <w:jc w:val="center"/>
            </w:pPr>
            <w:r w:rsidRPr="0054266C">
              <w:t>728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E.U.A.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8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13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Eslováquia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Espanha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9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14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França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proofErr w:type="spellStart"/>
            <w:r w:rsidRPr="00DE5824">
              <w:t>Ghana</w:t>
            </w:r>
            <w:proofErr w:type="spellEnd"/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Grécia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Holanda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Inglaterra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5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5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Marrocos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53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53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Moçambique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Namíbia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Noruega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Polónia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68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68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  <w:shd w:val="clear" w:color="auto" w:fill="BFBFBF" w:themeFill="background1" w:themeFillShade="BF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Portugal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71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26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51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148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R. D. Congo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11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Roménia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46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47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Rússia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303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9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312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Sérvia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Suíça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Togo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5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5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Tunísia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10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10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Ucrânia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22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22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Vietname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Zimbabué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4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3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-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7</w:t>
            </w:r>
          </w:p>
        </w:tc>
      </w:tr>
      <w:tr w:rsidR="009E402C" w:rsidRPr="00DE5824" w:rsidTr="00C61D06">
        <w:trPr>
          <w:jc w:val="center"/>
        </w:trPr>
        <w:tc>
          <w:tcPr>
            <w:tcW w:w="1728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Total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1670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69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218</w:t>
            </w:r>
          </w:p>
        </w:tc>
        <w:tc>
          <w:tcPr>
            <w:tcW w:w="1729" w:type="dxa"/>
          </w:tcPr>
          <w:p w:rsidR="009E402C" w:rsidRPr="00DE5824" w:rsidRDefault="009E402C" w:rsidP="00C61D06">
            <w:pPr>
              <w:pStyle w:val="Quadros"/>
              <w:jc w:val="center"/>
            </w:pPr>
            <w:r w:rsidRPr="00DE5824">
              <w:t>1974</w:t>
            </w:r>
          </w:p>
        </w:tc>
      </w:tr>
    </w:tbl>
    <w:p w:rsidR="009E402C" w:rsidRPr="00DE5824" w:rsidRDefault="009E402C" w:rsidP="009E402C">
      <w:pPr>
        <w:pStyle w:val="Quadros"/>
        <w:jc w:val="center"/>
      </w:pPr>
      <w:r w:rsidRPr="00B65464">
        <w:t>Fonte:</w:t>
      </w:r>
      <w:r>
        <w:t xml:space="preserve"> INABE (2011</w:t>
      </w:r>
      <w:r w:rsidRPr="00DE5824">
        <w:t>)</w:t>
      </w:r>
    </w:p>
    <w:p w:rsidR="009E402C" w:rsidRPr="009E402C" w:rsidRDefault="009E402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9E402C">
        <w:rPr>
          <w:rFonts w:ascii="Times New Roman" w:hAnsi="Times New Roman"/>
          <w:b/>
          <w:sz w:val="24"/>
          <w:szCs w:val="24"/>
        </w:rPr>
        <w:lastRenderedPageBreak/>
        <w:t>Pág. 13</w:t>
      </w:r>
    </w:p>
    <w:p w:rsidR="009E402C" w:rsidRPr="00D22FD8" w:rsidRDefault="009E402C" w:rsidP="009E402C">
      <w:pPr>
        <w:pStyle w:val="legendastese"/>
      </w:pPr>
      <w:r>
        <w:t xml:space="preserve">Quadro 6. </w:t>
      </w:r>
      <w:r w:rsidRPr="00995E28">
        <w:t>Distribuição dos estudantes angolanos no exterior (não bolseiros do INABE) – 2009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E402C" w:rsidRPr="001E1A09" w:rsidTr="00C61D06">
        <w:tc>
          <w:tcPr>
            <w:tcW w:w="2161" w:type="dxa"/>
            <w:shd w:val="clear" w:color="auto" w:fill="A6A6A6" w:themeFill="background1" w:themeFillShade="A6"/>
          </w:tcPr>
          <w:p w:rsidR="009E402C" w:rsidRPr="001E1A09" w:rsidRDefault="009E402C" w:rsidP="00C61D06">
            <w:pPr>
              <w:pStyle w:val="Quadros"/>
              <w:rPr>
                <w:b/>
              </w:rPr>
            </w:pPr>
            <w:r w:rsidRPr="001E1A09">
              <w:rPr>
                <w:b/>
              </w:rPr>
              <w:t>País</w:t>
            </w:r>
          </w:p>
        </w:tc>
        <w:tc>
          <w:tcPr>
            <w:tcW w:w="2161" w:type="dxa"/>
            <w:shd w:val="clear" w:color="auto" w:fill="A6A6A6" w:themeFill="background1" w:themeFillShade="A6"/>
          </w:tcPr>
          <w:p w:rsidR="009E402C" w:rsidRPr="001E1A09" w:rsidRDefault="009E402C" w:rsidP="00C61D06">
            <w:pPr>
              <w:pStyle w:val="Quadros"/>
              <w:rPr>
                <w:b/>
              </w:rPr>
            </w:pPr>
            <w:r w:rsidRPr="001E1A09">
              <w:rPr>
                <w:b/>
              </w:rPr>
              <w:t>Graduação</w:t>
            </w:r>
          </w:p>
        </w:tc>
        <w:tc>
          <w:tcPr>
            <w:tcW w:w="2161" w:type="dxa"/>
            <w:shd w:val="clear" w:color="auto" w:fill="A6A6A6" w:themeFill="background1" w:themeFillShade="A6"/>
          </w:tcPr>
          <w:p w:rsidR="009E402C" w:rsidRPr="001E1A09" w:rsidRDefault="009E402C" w:rsidP="00C61D06">
            <w:pPr>
              <w:pStyle w:val="Quadros"/>
              <w:rPr>
                <w:b/>
              </w:rPr>
            </w:pPr>
            <w:r w:rsidRPr="001E1A09">
              <w:rPr>
                <w:b/>
              </w:rPr>
              <w:t>Pós-Graduação</w:t>
            </w:r>
          </w:p>
        </w:tc>
        <w:tc>
          <w:tcPr>
            <w:tcW w:w="2161" w:type="dxa"/>
            <w:shd w:val="clear" w:color="auto" w:fill="A6A6A6" w:themeFill="background1" w:themeFillShade="A6"/>
          </w:tcPr>
          <w:p w:rsidR="009E402C" w:rsidRPr="001E1A09" w:rsidRDefault="009E402C" w:rsidP="00C61D06">
            <w:pPr>
              <w:pStyle w:val="Quadros"/>
              <w:rPr>
                <w:b/>
              </w:rPr>
            </w:pPr>
            <w:r w:rsidRPr="001E1A09">
              <w:rPr>
                <w:b/>
              </w:rPr>
              <w:t>Total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África do Sul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15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60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75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Argélia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-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10</w:t>
            </w:r>
          </w:p>
        </w:tc>
      </w:tr>
      <w:tr w:rsidR="009E402C" w:rsidRPr="001E1A09" w:rsidTr="00C61D06">
        <w:tc>
          <w:tcPr>
            <w:tcW w:w="2161" w:type="dxa"/>
            <w:shd w:val="clear" w:color="auto" w:fill="BFBFBF" w:themeFill="background1" w:themeFillShade="BF"/>
          </w:tcPr>
          <w:p w:rsidR="009E402C" w:rsidRPr="001E1A09" w:rsidRDefault="009E402C" w:rsidP="00C61D06">
            <w:pPr>
              <w:pStyle w:val="Quadros"/>
            </w:pPr>
            <w:r w:rsidRPr="001E1A09">
              <w:t>Brasil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70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15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85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Canadá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3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8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China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15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Congo Brazzaville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-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50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Coreia do Sul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6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Cuba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20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70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Eslováquia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7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12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França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7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17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Inglaterra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15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25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Itália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15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25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Marrocos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72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-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72</w:t>
            </w:r>
          </w:p>
        </w:tc>
      </w:tr>
      <w:tr w:rsidR="009E402C" w:rsidRPr="001E1A09" w:rsidTr="00C61D06">
        <w:tc>
          <w:tcPr>
            <w:tcW w:w="2161" w:type="dxa"/>
            <w:shd w:val="clear" w:color="auto" w:fill="A6A6A6" w:themeFill="background1" w:themeFillShade="A6"/>
          </w:tcPr>
          <w:p w:rsidR="009E402C" w:rsidRPr="001E1A09" w:rsidRDefault="009E402C" w:rsidP="00C61D06">
            <w:pPr>
              <w:pStyle w:val="Quadros"/>
            </w:pPr>
            <w:r w:rsidRPr="001E1A09">
              <w:t>Namíbia</w:t>
            </w:r>
          </w:p>
        </w:tc>
        <w:tc>
          <w:tcPr>
            <w:tcW w:w="2161" w:type="dxa"/>
            <w:shd w:val="clear" w:color="auto" w:fill="A6A6A6" w:themeFill="background1" w:themeFillShade="A6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1000</w:t>
            </w:r>
          </w:p>
        </w:tc>
        <w:tc>
          <w:tcPr>
            <w:tcW w:w="2161" w:type="dxa"/>
            <w:shd w:val="clear" w:color="auto" w:fill="A6A6A6" w:themeFill="background1" w:themeFillShade="A6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-</w:t>
            </w:r>
          </w:p>
        </w:tc>
        <w:tc>
          <w:tcPr>
            <w:tcW w:w="2161" w:type="dxa"/>
            <w:shd w:val="clear" w:color="auto" w:fill="A6A6A6" w:themeFill="background1" w:themeFillShade="A6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1000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Polónia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20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25</w:t>
            </w:r>
          </w:p>
        </w:tc>
      </w:tr>
      <w:tr w:rsidR="009E402C" w:rsidRPr="001E1A09" w:rsidTr="00C61D06">
        <w:tc>
          <w:tcPr>
            <w:tcW w:w="2161" w:type="dxa"/>
            <w:shd w:val="clear" w:color="auto" w:fill="BFBFBF" w:themeFill="background1" w:themeFillShade="BF"/>
          </w:tcPr>
          <w:p w:rsidR="009E402C" w:rsidRPr="001E1A09" w:rsidRDefault="009E402C" w:rsidP="00C61D06">
            <w:pPr>
              <w:pStyle w:val="Quadros"/>
            </w:pPr>
            <w:r w:rsidRPr="001E1A09">
              <w:t>Portugal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205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50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255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República Checa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25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30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RDC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80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-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80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Rússia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80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20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100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Ucrânia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50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23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73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Zâmbia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60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-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60</w:t>
            </w:r>
          </w:p>
        </w:tc>
      </w:tr>
      <w:tr w:rsidR="009E402C" w:rsidRPr="001E1A09" w:rsidTr="00C61D06">
        <w:tc>
          <w:tcPr>
            <w:tcW w:w="2161" w:type="dxa"/>
          </w:tcPr>
          <w:p w:rsidR="009E402C" w:rsidRPr="001E1A09" w:rsidRDefault="009E402C" w:rsidP="00C61D06">
            <w:pPr>
              <w:pStyle w:val="Quadros"/>
            </w:pPr>
            <w:r w:rsidRPr="001E1A09">
              <w:t>Zimbabwe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30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-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30</w:t>
            </w:r>
          </w:p>
        </w:tc>
      </w:tr>
      <w:tr w:rsidR="009E402C" w:rsidRPr="001E1A09" w:rsidTr="00C61D06">
        <w:trPr>
          <w:trHeight w:val="70"/>
        </w:trPr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rPr>
                <w:b/>
              </w:rPr>
            </w:pPr>
            <w:r w:rsidRPr="001E1A09">
              <w:rPr>
                <w:b/>
              </w:rPr>
              <w:t>Total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  <w:rPr>
                <w:b/>
              </w:rPr>
            </w:pPr>
            <w:r w:rsidRPr="001E1A09">
              <w:rPr>
                <w:b/>
              </w:rPr>
              <w:t>1879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  <w:rPr>
                <w:b/>
              </w:rPr>
            </w:pPr>
            <w:r w:rsidRPr="001E1A09">
              <w:rPr>
                <w:b/>
              </w:rPr>
              <w:t>244</w:t>
            </w:r>
          </w:p>
        </w:tc>
        <w:tc>
          <w:tcPr>
            <w:tcW w:w="2161" w:type="dxa"/>
          </w:tcPr>
          <w:p w:rsidR="009E402C" w:rsidRPr="001E1A09" w:rsidRDefault="009E402C" w:rsidP="00C61D06">
            <w:pPr>
              <w:pStyle w:val="Quadros"/>
              <w:jc w:val="center"/>
              <w:rPr>
                <w:b/>
              </w:rPr>
            </w:pPr>
            <w:r w:rsidRPr="001E1A09">
              <w:rPr>
                <w:b/>
              </w:rPr>
              <w:t>2123</w:t>
            </w:r>
          </w:p>
        </w:tc>
      </w:tr>
    </w:tbl>
    <w:p w:rsidR="009E402C" w:rsidRPr="00D22FD8" w:rsidRDefault="009E402C" w:rsidP="009E402C">
      <w:pPr>
        <w:ind w:left="540" w:hanging="540"/>
        <w:jc w:val="both"/>
        <w:rPr>
          <w:rFonts w:ascii="Times New Roman" w:hAnsi="Times New Roman"/>
        </w:rPr>
      </w:pPr>
      <w:r w:rsidRPr="004370B7">
        <w:rPr>
          <w:rFonts w:ascii="Times New Roman" w:hAnsi="Times New Roman"/>
        </w:rPr>
        <w:t>Fonte</w:t>
      </w:r>
      <w:r>
        <w:rPr>
          <w:rFonts w:ascii="Times New Roman" w:hAnsi="Times New Roman"/>
        </w:rPr>
        <w:t>: Resolução 29/09 (2009, p.</w:t>
      </w:r>
      <w:r w:rsidRPr="00D22FD8">
        <w:rPr>
          <w:rFonts w:ascii="Times New Roman" w:hAnsi="Times New Roman"/>
        </w:rPr>
        <w:t xml:space="preserve"> 1744)</w:t>
      </w:r>
    </w:p>
    <w:p w:rsidR="009E402C" w:rsidRDefault="009E402C">
      <w:pPr>
        <w:spacing w:after="160" w:line="259" w:lineRule="auto"/>
      </w:pPr>
      <w:r>
        <w:br w:type="page"/>
      </w:r>
      <w:r>
        <w:lastRenderedPageBreak/>
        <w:br w:type="page"/>
      </w:r>
    </w:p>
    <w:p w:rsidR="009E402C" w:rsidRPr="009E402C" w:rsidRDefault="009E402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9E402C">
        <w:rPr>
          <w:rFonts w:ascii="Times New Roman" w:hAnsi="Times New Roman"/>
          <w:b/>
          <w:sz w:val="24"/>
          <w:szCs w:val="24"/>
        </w:rPr>
        <w:lastRenderedPageBreak/>
        <w:t>Pág. 16</w:t>
      </w:r>
    </w:p>
    <w:p w:rsidR="009E402C" w:rsidRDefault="009E402C">
      <w:pPr>
        <w:spacing w:after="160" w:line="259" w:lineRule="auto"/>
      </w:pPr>
    </w:p>
    <w:p w:rsidR="009E402C" w:rsidRPr="00D22FD8" w:rsidRDefault="009E402C" w:rsidP="009E402C">
      <w:pPr>
        <w:pStyle w:val="legendastese"/>
      </w:pPr>
      <w:r>
        <w:t xml:space="preserve">Quadro 7. </w:t>
      </w:r>
      <w:r w:rsidRPr="00EF6330">
        <w:t>Alunos Nacionais de Angola Inscritos nas Universidades Port</w:t>
      </w:r>
      <w:r>
        <w:t>uguesas por área de Educação e Formação (CNAEF)</w:t>
      </w:r>
      <w:r w:rsidRPr="00EF6330">
        <w:t>, 1997-1998 a 2007-2008</w:t>
      </w:r>
    </w:p>
    <w:tbl>
      <w:tblPr>
        <w:tblStyle w:val="Tabelacomgrelh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E402C" w:rsidRPr="001E1A09" w:rsidTr="00C61D06"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E402C" w:rsidRPr="001E1A09" w:rsidRDefault="009E402C" w:rsidP="00C61D06">
            <w:pPr>
              <w:pStyle w:val="Quadros"/>
              <w:jc w:val="center"/>
            </w:pPr>
            <w:r w:rsidRPr="001E1A09">
              <w:t>Áreas de Educação e Formação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1997/98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1998/99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1999/00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2000/01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2001/02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2002/03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2003/04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2004/05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2005/06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2006/07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2007/08</w:t>
            </w:r>
          </w:p>
        </w:tc>
      </w:tr>
      <w:tr w:rsidR="009E402C" w:rsidRPr="001E1A09" w:rsidTr="00C61D06">
        <w:tc>
          <w:tcPr>
            <w:tcW w:w="1985" w:type="dxa"/>
            <w:vAlign w:val="center"/>
          </w:tcPr>
          <w:p w:rsidR="009E402C" w:rsidRPr="001E1A09" w:rsidRDefault="009E402C" w:rsidP="00C61D06">
            <w:pPr>
              <w:pStyle w:val="Quadros"/>
              <w:jc w:val="left"/>
            </w:pPr>
            <w:r w:rsidRPr="001E1A09">
              <w:t>Educação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174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103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136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328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178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166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96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82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174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118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79</w:t>
            </w:r>
          </w:p>
        </w:tc>
      </w:tr>
      <w:tr w:rsidR="009E402C" w:rsidRPr="001E1A09" w:rsidTr="00C61D06">
        <w:tc>
          <w:tcPr>
            <w:tcW w:w="1985" w:type="dxa"/>
            <w:vAlign w:val="center"/>
          </w:tcPr>
          <w:p w:rsidR="009E402C" w:rsidRPr="001E1A09" w:rsidRDefault="009E402C" w:rsidP="00C61D06">
            <w:pPr>
              <w:pStyle w:val="Quadros"/>
              <w:jc w:val="left"/>
            </w:pPr>
            <w:r w:rsidRPr="001E1A09">
              <w:t>Artes e Humanidades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111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137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157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111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144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155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178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277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263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308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284</w:t>
            </w:r>
          </w:p>
        </w:tc>
      </w:tr>
      <w:tr w:rsidR="009E402C" w:rsidRPr="001E1A09" w:rsidTr="00C61D06">
        <w:tc>
          <w:tcPr>
            <w:tcW w:w="1985" w:type="dxa"/>
            <w:vAlign w:val="center"/>
          </w:tcPr>
          <w:p w:rsidR="009E402C" w:rsidRPr="001E1A09" w:rsidRDefault="009E402C" w:rsidP="00C61D06">
            <w:pPr>
              <w:pStyle w:val="Quadros"/>
              <w:jc w:val="left"/>
            </w:pPr>
            <w:r w:rsidRPr="001E1A09">
              <w:t>Ciências Sociais, Comércio e Direito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875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994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1117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1257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1708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1796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2012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2622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2563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3174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3113</w:t>
            </w:r>
          </w:p>
        </w:tc>
      </w:tr>
      <w:tr w:rsidR="009E402C" w:rsidRPr="001E1A09" w:rsidTr="00C61D06">
        <w:tc>
          <w:tcPr>
            <w:tcW w:w="1985" w:type="dxa"/>
            <w:vAlign w:val="center"/>
          </w:tcPr>
          <w:p w:rsidR="009E402C" w:rsidRPr="001E1A09" w:rsidRDefault="009E402C" w:rsidP="00C61D06">
            <w:pPr>
              <w:pStyle w:val="Quadros"/>
              <w:jc w:val="left"/>
            </w:pPr>
            <w:r w:rsidRPr="001E1A09">
              <w:t>Ciências, Matemática e Informática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125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145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102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155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171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220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258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397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250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305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315</w:t>
            </w:r>
          </w:p>
        </w:tc>
      </w:tr>
      <w:tr w:rsidR="009E402C" w:rsidRPr="001E1A09" w:rsidTr="00C61D06">
        <w:tc>
          <w:tcPr>
            <w:tcW w:w="1985" w:type="dxa"/>
            <w:vAlign w:val="center"/>
          </w:tcPr>
          <w:p w:rsidR="009E402C" w:rsidRPr="001E1A09" w:rsidRDefault="009E402C" w:rsidP="00C61D06">
            <w:pPr>
              <w:pStyle w:val="Quadros"/>
              <w:jc w:val="left"/>
            </w:pPr>
            <w:r w:rsidRPr="001E1A09">
              <w:t>Engenharia, Indústrias Transformadoras e Construção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347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362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373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456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457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523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555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514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467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479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487</w:t>
            </w:r>
          </w:p>
        </w:tc>
      </w:tr>
      <w:tr w:rsidR="009E402C" w:rsidRPr="001E1A09" w:rsidTr="00C61D06">
        <w:tc>
          <w:tcPr>
            <w:tcW w:w="1985" w:type="dxa"/>
            <w:vAlign w:val="center"/>
          </w:tcPr>
          <w:p w:rsidR="009E402C" w:rsidRPr="001E1A09" w:rsidRDefault="009E402C" w:rsidP="00C61D06">
            <w:pPr>
              <w:pStyle w:val="Quadros"/>
              <w:jc w:val="left"/>
            </w:pPr>
            <w:r w:rsidRPr="001E1A09">
              <w:t>Agricultura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104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47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40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76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60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53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47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21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35</w:t>
            </w:r>
          </w:p>
        </w:tc>
      </w:tr>
      <w:tr w:rsidR="009E402C" w:rsidRPr="001E1A09" w:rsidTr="00C61D06">
        <w:tc>
          <w:tcPr>
            <w:tcW w:w="1985" w:type="dxa"/>
            <w:vAlign w:val="center"/>
          </w:tcPr>
          <w:p w:rsidR="009E402C" w:rsidRPr="001E1A09" w:rsidRDefault="009E402C" w:rsidP="00C61D06">
            <w:pPr>
              <w:pStyle w:val="Quadros"/>
              <w:jc w:val="left"/>
            </w:pPr>
            <w:proofErr w:type="gramStart"/>
            <w:r w:rsidRPr="001E1A09">
              <w:t>Saúde e Proteção Social</w:t>
            </w:r>
            <w:proofErr w:type="gramEnd"/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148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174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185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216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279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271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245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308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289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293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200</w:t>
            </w:r>
          </w:p>
        </w:tc>
      </w:tr>
      <w:tr w:rsidR="009E402C" w:rsidRPr="001E1A09" w:rsidTr="00C61D06">
        <w:trPr>
          <w:trHeight w:val="70"/>
        </w:trPr>
        <w:tc>
          <w:tcPr>
            <w:tcW w:w="1985" w:type="dxa"/>
            <w:vAlign w:val="center"/>
          </w:tcPr>
          <w:p w:rsidR="009E402C" w:rsidRPr="001E1A09" w:rsidRDefault="009E402C" w:rsidP="00C61D06">
            <w:pPr>
              <w:pStyle w:val="Quadros"/>
              <w:jc w:val="left"/>
            </w:pPr>
            <w:r w:rsidRPr="001E1A09">
              <w:t>Serviços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144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149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140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148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170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176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130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111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89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99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135</w:t>
            </w:r>
          </w:p>
        </w:tc>
      </w:tr>
      <w:tr w:rsidR="009E402C" w:rsidRPr="001E1A09" w:rsidTr="00C61D06">
        <w:tc>
          <w:tcPr>
            <w:tcW w:w="1985" w:type="dxa"/>
            <w:vAlign w:val="center"/>
          </w:tcPr>
          <w:p w:rsidR="009E402C" w:rsidRPr="001E1A09" w:rsidRDefault="009E402C" w:rsidP="00C61D06">
            <w:pPr>
              <w:pStyle w:val="Quadros"/>
              <w:jc w:val="left"/>
            </w:pPr>
            <w:r w:rsidRPr="001E1A09">
              <w:t>Total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2028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2111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2258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2711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3183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3367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3527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4258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4116</w:t>
            </w:r>
          </w:p>
        </w:tc>
        <w:tc>
          <w:tcPr>
            <w:tcW w:w="708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4794</w:t>
            </w:r>
          </w:p>
        </w:tc>
        <w:tc>
          <w:tcPr>
            <w:tcW w:w="709" w:type="dxa"/>
            <w:vAlign w:val="center"/>
          </w:tcPr>
          <w:p w:rsidR="009E402C" w:rsidRPr="001E1A09" w:rsidRDefault="009E402C" w:rsidP="00C61D06">
            <w:pPr>
              <w:pStyle w:val="Quadros"/>
            </w:pPr>
            <w:r w:rsidRPr="001E1A09">
              <w:t>4648</w:t>
            </w:r>
          </w:p>
        </w:tc>
      </w:tr>
    </w:tbl>
    <w:p w:rsidR="009E402C" w:rsidRPr="00D22FD8" w:rsidRDefault="009E402C" w:rsidP="009E402C">
      <w:pPr>
        <w:pStyle w:val="Quadros"/>
      </w:pPr>
      <w:r w:rsidRPr="006E2E92">
        <w:t>Fonte</w:t>
      </w:r>
      <w:r w:rsidRPr="00D22FD8">
        <w:t>: “Relatório Ciência, Tecnologia e Ensino Superior: Cooperação Entre Portugal e a CPLP” Disponível no endereço</w:t>
      </w:r>
      <w:r w:rsidRPr="00362BD9">
        <w:t xml:space="preserve"> </w:t>
      </w:r>
      <w:r w:rsidRPr="00362BD9">
        <w:rPr>
          <w:u w:val="single"/>
        </w:rPr>
        <w:t>http://</w:t>
      </w:r>
      <w:hyperlink r:id="rId7" w:history="1">
        <w:r w:rsidRPr="00362BD9">
          <w:rPr>
            <w:rStyle w:val="Hiperligao"/>
          </w:rPr>
          <w:t>www.gpeari.mctes.pt</w:t>
        </w:r>
      </w:hyperlink>
      <w:r>
        <w:t xml:space="preserve"> </w:t>
      </w:r>
      <w:r w:rsidRPr="00D22FD8">
        <w:t>(acedido a 10/02/2011)</w:t>
      </w:r>
      <w:r>
        <w:t>.</w:t>
      </w:r>
    </w:p>
    <w:p w:rsidR="009E402C" w:rsidRDefault="009E402C">
      <w:pPr>
        <w:spacing w:after="160" w:line="259" w:lineRule="auto"/>
      </w:pPr>
    </w:p>
    <w:p w:rsidR="009E402C" w:rsidRDefault="009E402C">
      <w:pPr>
        <w:spacing w:after="160" w:line="259" w:lineRule="auto"/>
      </w:pPr>
    </w:p>
    <w:p w:rsidR="009E402C" w:rsidRPr="009E402C" w:rsidRDefault="009E402C" w:rsidP="009E402C">
      <w:bookmarkStart w:id="7" w:name="_GoBack"/>
      <w:bookmarkEnd w:id="7"/>
    </w:p>
    <w:sectPr w:rsidR="009E402C" w:rsidRPr="009E4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91"/>
    <w:rsid w:val="00615191"/>
    <w:rsid w:val="007544D9"/>
    <w:rsid w:val="009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0CAD"/>
  <w15:chartTrackingRefBased/>
  <w15:docId w15:val="{99692BE8-3C03-4EDA-83E7-92BEEB7E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5191"/>
    <w:pPr>
      <w:spacing w:after="200" w:line="276" w:lineRule="auto"/>
    </w:pPr>
    <w:rPr>
      <w:rFonts w:ascii="Calibri" w:eastAsia="Times New Roman" w:hAnsi="Calibri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615191"/>
    <w:rPr>
      <w:color w:val="0000FF"/>
      <w:u w:val="single"/>
    </w:rPr>
  </w:style>
  <w:style w:type="paragraph" w:customStyle="1" w:styleId="Quadros">
    <w:name w:val="Quadros"/>
    <w:basedOn w:val="Normal"/>
    <w:qFormat/>
    <w:rsid w:val="009E402C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legendastese">
    <w:name w:val="legendas_tese"/>
    <w:basedOn w:val="Legenda"/>
    <w:link w:val="legendasteseCarcter"/>
    <w:qFormat/>
    <w:rsid w:val="009E402C"/>
    <w:pPr>
      <w:keepNext/>
      <w:jc w:val="center"/>
    </w:pPr>
    <w:rPr>
      <w:rFonts w:ascii="Times New Roman" w:eastAsia="SimSun" w:hAnsi="Times New Roman"/>
      <w:bCs/>
      <w:i w:val="0"/>
      <w:iCs w:val="0"/>
      <w:color w:val="auto"/>
      <w:sz w:val="22"/>
      <w:szCs w:val="22"/>
      <w:lang w:eastAsia="zh-CN"/>
    </w:rPr>
  </w:style>
  <w:style w:type="character" w:customStyle="1" w:styleId="legendasteseCarcter">
    <w:name w:val="legendas_tese Carácter"/>
    <w:basedOn w:val="Tipodeletrapredefinidodopargrafo"/>
    <w:link w:val="legendastese"/>
    <w:rsid w:val="009E402C"/>
    <w:rPr>
      <w:rFonts w:ascii="Times New Roman" w:eastAsia="SimSun" w:hAnsi="Times New Roman" w:cs="Times New Roman"/>
      <w:bCs/>
      <w:lang w:val="pt-PT" w:eastAsia="zh-CN"/>
    </w:rPr>
  </w:style>
  <w:style w:type="paragraph" w:styleId="Legenda">
    <w:name w:val="caption"/>
    <w:basedOn w:val="Normal"/>
    <w:next w:val="Normal"/>
    <w:link w:val="LegendaCarter"/>
    <w:uiPriority w:val="99"/>
    <w:unhideWhenUsed/>
    <w:qFormat/>
    <w:rsid w:val="009E402C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elacomgrelha">
    <w:name w:val="Table Grid"/>
    <w:basedOn w:val="Tabelanormal"/>
    <w:uiPriority w:val="59"/>
    <w:rsid w:val="009E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endaCarter">
    <w:name w:val="Legenda Caráter"/>
    <w:basedOn w:val="Tipodeletrapredefinidodopargrafo"/>
    <w:link w:val="Legenda"/>
    <w:uiPriority w:val="99"/>
    <w:rsid w:val="009E402C"/>
    <w:rPr>
      <w:rFonts w:ascii="Calibri" w:eastAsia="Times New Roman" w:hAnsi="Calibri" w:cs="Times New Roman"/>
      <w:i/>
      <w:iCs/>
      <w:color w:val="44546A" w:themeColor="text2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peari.mctes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8401075852272"/>
          <c:y val="5.6857563460081875E-2"/>
          <c:w val="0.88397745361198465"/>
          <c:h val="0.513168882935276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Estudantes Angolanos em Portugal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1961/62</c:v>
                </c:pt>
                <c:pt idx="1">
                  <c:v>1962/63</c:v>
                </c:pt>
                <c:pt idx="2">
                  <c:v>1963/64</c:v>
                </c:pt>
                <c:pt idx="3">
                  <c:v>1964/65</c:v>
                </c:pt>
                <c:pt idx="4">
                  <c:v>1965/66</c:v>
                </c:pt>
                <c:pt idx="5">
                  <c:v>1966/67</c:v>
                </c:pt>
                <c:pt idx="6">
                  <c:v>1967/68</c:v>
                </c:pt>
                <c:pt idx="7">
                  <c:v>1968/69</c:v>
                </c:pt>
                <c:pt idx="8">
                  <c:v>1969/70</c:v>
                </c:pt>
                <c:pt idx="9">
                  <c:v>1970/71</c:v>
                </c:pt>
                <c:pt idx="10">
                  <c:v>1971/72</c:v>
                </c:pt>
                <c:pt idx="11">
                  <c:v>1972/73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855</c:v>
                </c:pt>
                <c:pt idx="1">
                  <c:v>896</c:v>
                </c:pt>
                <c:pt idx="2">
                  <c:v>839</c:v>
                </c:pt>
                <c:pt idx="3">
                  <c:v>951</c:v>
                </c:pt>
                <c:pt idx="4">
                  <c:v>1035</c:v>
                </c:pt>
                <c:pt idx="5">
                  <c:v>1065</c:v>
                </c:pt>
                <c:pt idx="6">
                  <c:v>1200</c:v>
                </c:pt>
                <c:pt idx="7">
                  <c:v>1172</c:v>
                </c:pt>
                <c:pt idx="8">
                  <c:v>1305</c:v>
                </c:pt>
                <c:pt idx="9">
                  <c:v>1297</c:v>
                </c:pt>
                <c:pt idx="10">
                  <c:v>1345</c:v>
                </c:pt>
                <c:pt idx="11">
                  <c:v>1337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DD-412F-9689-C3734F8D601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Estudos Gerais - Angola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1961/62</c:v>
                </c:pt>
                <c:pt idx="1">
                  <c:v>1962/63</c:v>
                </c:pt>
                <c:pt idx="2">
                  <c:v>1963/64</c:v>
                </c:pt>
                <c:pt idx="3">
                  <c:v>1964/65</c:v>
                </c:pt>
                <c:pt idx="4">
                  <c:v>1965/66</c:v>
                </c:pt>
                <c:pt idx="5">
                  <c:v>1966/67</c:v>
                </c:pt>
                <c:pt idx="6">
                  <c:v>1967/68</c:v>
                </c:pt>
                <c:pt idx="7">
                  <c:v>1968/69</c:v>
                </c:pt>
                <c:pt idx="8">
                  <c:v>1969/70</c:v>
                </c:pt>
                <c:pt idx="9">
                  <c:v>1970/71</c:v>
                </c:pt>
                <c:pt idx="10">
                  <c:v>1971/72</c:v>
                </c:pt>
                <c:pt idx="11">
                  <c:v>1972/73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2">
                  <c:v>286</c:v>
                </c:pt>
                <c:pt idx="3">
                  <c:v>418</c:v>
                </c:pt>
                <c:pt idx="4">
                  <c:v>477</c:v>
                </c:pt>
                <c:pt idx="5">
                  <c:v>607</c:v>
                </c:pt>
                <c:pt idx="6">
                  <c:v>827</c:v>
                </c:pt>
                <c:pt idx="7">
                  <c:v>1074</c:v>
                </c:pt>
                <c:pt idx="8">
                  <c:v>1570</c:v>
                </c:pt>
                <c:pt idx="9">
                  <c:v>2125</c:v>
                </c:pt>
                <c:pt idx="10">
                  <c:v>2435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DD-412F-9689-C3734F8D601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1961/62</c:v>
                </c:pt>
                <c:pt idx="1">
                  <c:v>1962/63</c:v>
                </c:pt>
                <c:pt idx="2">
                  <c:v>1963/64</c:v>
                </c:pt>
                <c:pt idx="3">
                  <c:v>1964/65</c:v>
                </c:pt>
                <c:pt idx="4">
                  <c:v>1965/66</c:v>
                </c:pt>
                <c:pt idx="5">
                  <c:v>1966/67</c:v>
                </c:pt>
                <c:pt idx="6">
                  <c:v>1967/68</c:v>
                </c:pt>
                <c:pt idx="7">
                  <c:v>1968/69</c:v>
                </c:pt>
                <c:pt idx="8">
                  <c:v>1969/70</c:v>
                </c:pt>
                <c:pt idx="9">
                  <c:v>1970/71</c:v>
                </c:pt>
                <c:pt idx="10">
                  <c:v>1971/72</c:v>
                </c:pt>
                <c:pt idx="11">
                  <c:v>1972/73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2-E7DD-412F-9689-C3734F8D60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192576"/>
        <c:axId val="161198464"/>
      </c:barChart>
      <c:catAx>
        <c:axId val="161192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en-US"/>
          </a:p>
        </c:txPr>
        <c:crossAx val="161198464"/>
        <c:crosses val="autoZero"/>
        <c:auto val="1"/>
        <c:lblAlgn val="ctr"/>
        <c:lblOffset val="100"/>
        <c:noMultiLvlLbl val="0"/>
      </c:catAx>
      <c:valAx>
        <c:axId val="161198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en-US"/>
          </a:p>
        </c:txPr>
        <c:crossAx val="161192576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6.8530648858766183E-2"/>
          <c:y val="0.83587719584844422"/>
          <c:w val="0.79623402770856178"/>
          <c:h val="0.16275231156271444"/>
        </c:manualLayout>
      </c:layout>
      <c:overlay val="0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827839316697061"/>
          <c:y val="0.11994428070792826"/>
          <c:w val="0.67775924195920945"/>
          <c:h val="0.591272469319712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Universidade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invertIfNegative val="0"/>
          <c:cat>
            <c:numRef>
              <c:f>Folha1!$A$2:$A$6</c:f>
              <c:numCache>
                <c:formatCode>General</c:formatCode>
                <c:ptCount val="5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</c:numCache>
            </c:numRef>
          </c:cat>
          <c:val>
            <c:numRef>
              <c:f>Folha1!$B$2:$B$6</c:f>
              <c:numCache>
                <c:formatCode>General</c:formatCode>
                <c:ptCount val="5"/>
                <c:pt idx="0">
                  <c:v>13418</c:v>
                </c:pt>
                <c:pt idx="1">
                  <c:v>12913</c:v>
                </c:pt>
                <c:pt idx="2">
                  <c:v>13767</c:v>
                </c:pt>
                <c:pt idx="3">
                  <c:v>23300</c:v>
                </c:pt>
                <c:pt idx="4">
                  <c:v>31702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3B-4DB7-95A1-6ABB34AFC05D}"/>
            </c:ext>
          </c:extLst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Bolsas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cat>
            <c:numRef>
              <c:f>Folha1!$A$2:$A$6</c:f>
              <c:numCache>
                <c:formatCode>General</c:formatCode>
                <c:ptCount val="5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</c:numCache>
            </c:numRef>
          </c:cat>
          <c:val>
            <c:numRef>
              <c:f>Folha1!$C$2:$C$6</c:f>
              <c:numCache>
                <c:formatCode>General</c:formatCode>
                <c:ptCount val="5"/>
                <c:pt idx="0">
                  <c:v>29138</c:v>
                </c:pt>
                <c:pt idx="1">
                  <c:v>13204</c:v>
                </c:pt>
                <c:pt idx="2">
                  <c:v>46141</c:v>
                </c:pt>
                <c:pt idx="3">
                  <c:v>30205</c:v>
                </c:pt>
                <c:pt idx="4">
                  <c:v>28091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3B-4DB7-95A1-6ABB34AFC0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153792"/>
        <c:axId val="161155328"/>
      </c:barChart>
      <c:catAx>
        <c:axId val="161153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en-US"/>
          </a:p>
        </c:txPr>
        <c:crossAx val="161155328"/>
        <c:crosses val="autoZero"/>
        <c:auto val="1"/>
        <c:lblAlgn val="ctr"/>
        <c:lblOffset val="100"/>
        <c:noMultiLvlLbl val="0"/>
      </c:catAx>
      <c:valAx>
        <c:axId val="161155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en-US"/>
          </a:p>
        </c:txPr>
        <c:crossAx val="161153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8861248276170386"/>
          <c:y val="0.85921770589487123"/>
          <c:w val="0.7163699452822283"/>
          <c:h val="0.11296705230281967"/>
        </c:manualLayout>
      </c:layout>
      <c:overlay val="0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Despesas com a Educação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7E5-460F-A3E5-CCD9FAD8BC0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Folha1!$A$2:$A$10</c:f>
              <c:strCache>
                <c:ptCount val="8"/>
                <c:pt idx="0">
                  <c:v>SADC (média)</c:v>
                </c:pt>
                <c:pt idx="1">
                  <c:v>Angola</c:v>
                </c:pt>
                <c:pt idx="2">
                  <c:v>Zâmbia</c:v>
                </c:pt>
                <c:pt idx="3">
                  <c:v>Tanzânia</c:v>
                </c:pt>
                <c:pt idx="4">
                  <c:v>África do Sul</c:v>
                </c:pt>
                <c:pt idx="5">
                  <c:v>Zimbabwe</c:v>
                </c:pt>
                <c:pt idx="6">
                  <c:v>Botswana</c:v>
                </c:pt>
                <c:pt idx="7">
                  <c:v>Namíbia</c:v>
                </c:pt>
              </c:strCache>
            </c:strRef>
          </c:cat>
          <c:val>
            <c:numRef>
              <c:f>Folha1!$B$2:$B$10</c:f>
              <c:numCache>
                <c:formatCode>General</c:formatCode>
                <c:ptCount val="9"/>
                <c:pt idx="0">
                  <c:v>16.7</c:v>
                </c:pt>
                <c:pt idx="1">
                  <c:v>4.7</c:v>
                </c:pt>
                <c:pt idx="2">
                  <c:v>9.6</c:v>
                </c:pt>
                <c:pt idx="3">
                  <c:v>13.6</c:v>
                </c:pt>
                <c:pt idx="4">
                  <c:v>22.1</c:v>
                </c:pt>
                <c:pt idx="5">
                  <c:v>23</c:v>
                </c:pt>
                <c:pt idx="6">
                  <c:v>23.1</c:v>
                </c:pt>
                <c:pt idx="7">
                  <c:v>24.3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E5-460F-A3E5-CCD9FAD8BC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179904"/>
        <c:axId val="162938880"/>
      </c:barChart>
      <c:catAx>
        <c:axId val="161179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en-US"/>
          </a:p>
        </c:txPr>
        <c:crossAx val="162938880"/>
        <c:crosses val="autoZero"/>
        <c:auto val="1"/>
        <c:lblAlgn val="ctr"/>
        <c:lblOffset val="100"/>
        <c:noMultiLvlLbl val="0"/>
      </c:catAx>
      <c:valAx>
        <c:axId val="162938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1799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liberato</dc:creator>
  <cp:keywords/>
  <dc:description/>
  <cp:lastModifiedBy>liberato</cp:lastModifiedBy>
  <cp:revision>1</cp:revision>
  <dcterms:created xsi:type="dcterms:W3CDTF">2016-07-26T00:43:00Z</dcterms:created>
  <dcterms:modified xsi:type="dcterms:W3CDTF">2016-07-26T01:09:00Z</dcterms:modified>
</cp:coreProperties>
</file>