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4F1" w:rsidRDefault="002E04F1" w:rsidP="002E04F1">
      <w:pPr>
        <w:pStyle w:val="Cabealho1"/>
        <w:spacing w:line="360" w:lineRule="auto"/>
        <w:jc w:val="center"/>
      </w:pPr>
    </w:p>
    <w:p w:rsidR="007B61EA" w:rsidRDefault="004F6B66" w:rsidP="002E04F1">
      <w:pPr>
        <w:pStyle w:val="Cabealho1"/>
        <w:spacing w:line="360" w:lineRule="auto"/>
        <w:jc w:val="center"/>
      </w:pPr>
      <w:r>
        <w:t>A importância</w:t>
      </w:r>
      <w:r w:rsidR="0082065D">
        <w:t xml:space="preserve"> da c</w:t>
      </w:r>
      <w:r w:rsidR="00BC5B8F">
        <w:t>ooperação</w:t>
      </w:r>
      <w:r w:rsidR="0082065D">
        <w:t xml:space="preserve"> i</w:t>
      </w:r>
      <w:r w:rsidR="00225F1D">
        <w:t xml:space="preserve">nternacional </w:t>
      </w:r>
      <w:r w:rsidR="0082065D">
        <w:t>na formação superior de a</w:t>
      </w:r>
      <w:r w:rsidR="00BC5B8F">
        <w:t>ngolanos</w:t>
      </w:r>
    </w:p>
    <w:p w:rsidR="0016468C" w:rsidRDefault="0016468C">
      <w:pPr>
        <w:rPr>
          <w:rFonts w:ascii="Times New Roman" w:hAnsi="Times New Roman"/>
          <w:b/>
          <w:sz w:val="24"/>
          <w:szCs w:val="24"/>
          <w:lang w:eastAsia="pt-PT"/>
        </w:rPr>
      </w:pPr>
    </w:p>
    <w:p w:rsidR="002D3692" w:rsidRPr="00A758C4" w:rsidRDefault="00A758C4" w:rsidP="001D1294">
      <w:pPr>
        <w:jc w:val="center"/>
        <w:rPr>
          <w:rFonts w:ascii="Times New Roman" w:hAnsi="Times New Roman"/>
          <w:b/>
          <w:sz w:val="24"/>
          <w:szCs w:val="24"/>
          <w:lang w:val="en-US" w:eastAsia="pt-PT"/>
        </w:rPr>
      </w:pPr>
      <w:r w:rsidRPr="00A758C4">
        <w:rPr>
          <w:rFonts w:ascii="Times New Roman" w:hAnsi="Times New Roman"/>
          <w:b/>
          <w:sz w:val="24"/>
          <w:szCs w:val="24"/>
          <w:lang w:val="en-US" w:eastAsia="pt-PT"/>
        </w:rPr>
        <w:t xml:space="preserve">The importance of international cooperation </w:t>
      </w:r>
      <w:r>
        <w:rPr>
          <w:rFonts w:ascii="Times New Roman" w:hAnsi="Times New Roman"/>
          <w:b/>
          <w:sz w:val="24"/>
          <w:szCs w:val="24"/>
          <w:lang w:val="en-US" w:eastAsia="pt-PT"/>
        </w:rPr>
        <w:t>for Angolans higher education</w:t>
      </w:r>
    </w:p>
    <w:p w:rsidR="00CA148F" w:rsidRDefault="0016468C" w:rsidP="0082065D">
      <w:pPr>
        <w:spacing w:line="240" w:lineRule="auto"/>
        <w:jc w:val="both"/>
        <w:rPr>
          <w:rFonts w:ascii="Times New Roman" w:hAnsi="Times New Roman"/>
          <w:b/>
          <w:lang w:eastAsia="pt-PT"/>
        </w:rPr>
      </w:pPr>
      <w:r w:rsidRPr="0082065D">
        <w:rPr>
          <w:rFonts w:ascii="Times New Roman" w:hAnsi="Times New Roman"/>
          <w:b/>
          <w:lang w:eastAsia="pt-PT"/>
        </w:rPr>
        <w:t>Resumo</w:t>
      </w:r>
      <w:r w:rsidR="00225F1D" w:rsidRPr="0082065D">
        <w:rPr>
          <w:rFonts w:ascii="Times New Roman" w:hAnsi="Times New Roman"/>
          <w:b/>
          <w:lang w:eastAsia="pt-PT"/>
        </w:rPr>
        <w:t xml:space="preserve">: </w:t>
      </w:r>
      <w:r w:rsidR="00470457" w:rsidRPr="001C2022">
        <w:rPr>
          <w:rFonts w:ascii="Times New Roman" w:hAnsi="Times New Roman"/>
          <w:lang w:eastAsia="pt-PT"/>
        </w:rPr>
        <w:t>A cooperação internacional tem assumido, nos últimos anos, um protagonismo e importância nos diferentes sectores, sobretudo no que toca a formação e qualificaç</w:t>
      </w:r>
      <w:r w:rsidR="001C2022">
        <w:rPr>
          <w:rFonts w:ascii="Times New Roman" w:hAnsi="Times New Roman"/>
          <w:lang w:eastAsia="pt-PT"/>
        </w:rPr>
        <w:t>ão de recursos humanos.</w:t>
      </w:r>
      <w:r w:rsidR="00470457" w:rsidRPr="001C2022">
        <w:rPr>
          <w:rFonts w:ascii="Times New Roman" w:hAnsi="Times New Roman"/>
          <w:lang w:eastAsia="pt-PT"/>
        </w:rPr>
        <w:t xml:space="preserve"> Para Angola, um país que tem atravessado diferentes constrangimentos essa importância </w:t>
      </w:r>
      <w:r w:rsidR="001C2022" w:rsidRPr="001C2022">
        <w:rPr>
          <w:rFonts w:ascii="Times New Roman" w:hAnsi="Times New Roman"/>
          <w:lang w:eastAsia="pt-PT"/>
        </w:rPr>
        <w:t>acentua-se,</w:t>
      </w:r>
      <w:r w:rsidR="00470457" w:rsidRPr="001C2022">
        <w:rPr>
          <w:rFonts w:ascii="Times New Roman" w:hAnsi="Times New Roman"/>
          <w:lang w:eastAsia="pt-PT"/>
        </w:rPr>
        <w:t xml:space="preserve"> pois, a formação de recursos humanos tem sido </w:t>
      </w:r>
      <w:r w:rsidR="001C2022" w:rsidRPr="001C2022">
        <w:rPr>
          <w:rFonts w:ascii="Times New Roman" w:hAnsi="Times New Roman"/>
          <w:lang w:eastAsia="pt-PT"/>
        </w:rPr>
        <w:t>possível</w:t>
      </w:r>
      <w:r w:rsidR="00470457" w:rsidRPr="001C2022">
        <w:rPr>
          <w:rFonts w:ascii="Times New Roman" w:hAnsi="Times New Roman"/>
          <w:lang w:eastAsia="pt-PT"/>
        </w:rPr>
        <w:t xml:space="preserve"> sobretudo </w:t>
      </w:r>
      <w:r w:rsidR="001C2022">
        <w:rPr>
          <w:rFonts w:ascii="Times New Roman" w:hAnsi="Times New Roman"/>
          <w:lang w:eastAsia="pt-PT"/>
        </w:rPr>
        <w:t xml:space="preserve">com a realização de diferentes acordos de cooperação celebrados com diferentes países do mundo, </w:t>
      </w:r>
      <w:r w:rsidR="00B84B75" w:rsidRPr="007E00F2">
        <w:rPr>
          <w:rFonts w:ascii="Times New Roman" w:hAnsi="Times New Roman"/>
          <w:color w:val="FF0000"/>
          <w:lang w:eastAsia="pt-PT"/>
        </w:rPr>
        <w:t>dentre os quais</w:t>
      </w:r>
      <w:r w:rsidR="001C2022" w:rsidRPr="007E00F2">
        <w:rPr>
          <w:rFonts w:ascii="Times New Roman" w:hAnsi="Times New Roman"/>
          <w:color w:val="FF0000"/>
          <w:lang w:eastAsia="pt-PT"/>
        </w:rPr>
        <w:t xml:space="preserve"> </w:t>
      </w:r>
      <w:r w:rsidR="001C2022">
        <w:rPr>
          <w:rFonts w:ascii="Times New Roman" w:hAnsi="Times New Roman"/>
          <w:lang w:eastAsia="pt-PT"/>
        </w:rPr>
        <w:t xml:space="preserve">se destacam Portugal e Brasil. </w:t>
      </w:r>
    </w:p>
    <w:p w:rsidR="00CA148F" w:rsidRDefault="00CA148F" w:rsidP="0082065D">
      <w:pPr>
        <w:spacing w:line="240" w:lineRule="auto"/>
        <w:jc w:val="both"/>
        <w:rPr>
          <w:rFonts w:ascii="Times New Roman" w:hAnsi="Times New Roman"/>
          <w:b/>
          <w:lang w:eastAsia="pt-PT"/>
        </w:rPr>
      </w:pPr>
    </w:p>
    <w:p w:rsidR="0016468C" w:rsidRDefault="0016468C" w:rsidP="00C85E14">
      <w:pPr>
        <w:spacing w:line="240" w:lineRule="auto"/>
        <w:jc w:val="both"/>
        <w:rPr>
          <w:rFonts w:ascii="Times New Roman" w:hAnsi="Times New Roman"/>
          <w:lang w:eastAsia="pt-PT"/>
        </w:rPr>
      </w:pPr>
      <w:r w:rsidRPr="00C85E14">
        <w:rPr>
          <w:rFonts w:ascii="Times New Roman" w:hAnsi="Times New Roman"/>
          <w:b/>
          <w:lang w:eastAsia="pt-PT"/>
        </w:rPr>
        <w:t>Palavras-chave</w:t>
      </w:r>
      <w:r w:rsidR="009A09C6" w:rsidRPr="00C85E14">
        <w:rPr>
          <w:rFonts w:ascii="Times New Roman" w:hAnsi="Times New Roman"/>
          <w:b/>
          <w:lang w:eastAsia="pt-PT"/>
        </w:rPr>
        <w:t xml:space="preserve">: </w:t>
      </w:r>
      <w:r w:rsidR="007E00F2">
        <w:rPr>
          <w:rFonts w:ascii="Times New Roman" w:hAnsi="Times New Roman"/>
          <w:lang w:eastAsia="pt-PT"/>
        </w:rPr>
        <w:t>Ensino Superior, C</w:t>
      </w:r>
      <w:r w:rsidR="009A09C6" w:rsidRPr="00C85E14">
        <w:rPr>
          <w:rFonts w:ascii="Times New Roman" w:hAnsi="Times New Roman"/>
          <w:lang w:eastAsia="pt-PT"/>
        </w:rPr>
        <w:t>ooperação</w:t>
      </w:r>
      <w:r w:rsidR="007E00F2">
        <w:rPr>
          <w:rFonts w:ascii="Times New Roman" w:hAnsi="Times New Roman"/>
          <w:lang w:eastAsia="pt-PT"/>
        </w:rPr>
        <w:t xml:space="preserve"> I</w:t>
      </w:r>
      <w:r w:rsidR="00BC5B8F" w:rsidRPr="00C85E14">
        <w:rPr>
          <w:rFonts w:ascii="Times New Roman" w:hAnsi="Times New Roman"/>
          <w:lang w:eastAsia="pt-PT"/>
        </w:rPr>
        <w:t>nternacional</w:t>
      </w:r>
      <w:r w:rsidR="009A09C6" w:rsidRPr="00C85E14">
        <w:rPr>
          <w:rFonts w:ascii="Times New Roman" w:hAnsi="Times New Roman"/>
          <w:lang w:eastAsia="pt-PT"/>
        </w:rPr>
        <w:t>, Angola</w:t>
      </w:r>
      <w:r w:rsidR="0082065D" w:rsidRPr="00C85E14">
        <w:rPr>
          <w:rFonts w:ascii="Times New Roman" w:hAnsi="Times New Roman"/>
          <w:lang w:eastAsia="pt-PT"/>
        </w:rPr>
        <w:t xml:space="preserve"> </w:t>
      </w:r>
    </w:p>
    <w:p w:rsidR="001C2022" w:rsidRPr="00E042FB" w:rsidRDefault="001C2022" w:rsidP="0082065D">
      <w:pPr>
        <w:spacing w:line="240" w:lineRule="auto"/>
        <w:jc w:val="both"/>
        <w:rPr>
          <w:rFonts w:ascii="Times New Roman" w:hAnsi="Times New Roman"/>
          <w:b/>
          <w:lang w:eastAsia="pt-PT"/>
        </w:rPr>
      </w:pPr>
    </w:p>
    <w:p w:rsidR="001C2022" w:rsidRPr="001C2022" w:rsidRDefault="0016468C" w:rsidP="0082065D">
      <w:pPr>
        <w:spacing w:line="240" w:lineRule="auto"/>
        <w:jc w:val="both"/>
        <w:rPr>
          <w:rFonts w:ascii="Times New Roman" w:hAnsi="Times New Roman"/>
          <w:lang w:val="en-US" w:eastAsia="pt-PT"/>
        </w:rPr>
      </w:pPr>
      <w:r w:rsidRPr="0082065D">
        <w:rPr>
          <w:rFonts w:ascii="Times New Roman" w:hAnsi="Times New Roman"/>
          <w:b/>
          <w:lang w:val="en-US" w:eastAsia="pt-PT"/>
        </w:rPr>
        <w:t>Abstract:</w:t>
      </w:r>
      <w:r w:rsidR="002F4FBA" w:rsidRPr="0082065D">
        <w:rPr>
          <w:rFonts w:ascii="Times New Roman" w:hAnsi="Times New Roman"/>
          <w:b/>
          <w:lang w:val="en-US" w:eastAsia="pt-PT"/>
        </w:rPr>
        <w:t xml:space="preserve"> </w:t>
      </w:r>
      <w:r w:rsidR="001C2022" w:rsidRPr="001C2022">
        <w:rPr>
          <w:rFonts w:ascii="Times New Roman" w:hAnsi="Times New Roman"/>
          <w:lang w:val="en-US" w:eastAsia="pt-PT"/>
        </w:rPr>
        <w:t xml:space="preserve">International cooperation has taken in recent years, a </w:t>
      </w:r>
      <w:r w:rsidR="007E00F2" w:rsidRPr="007E00F2">
        <w:rPr>
          <w:rFonts w:ascii="Times New Roman" w:hAnsi="Times New Roman"/>
          <w:color w:val="FF0000"/>
          <w:lang w:val="en-US" w:eastAsia="pt-PT"/>
        </w:rPr>
        <w:t>protagonism</w:t>
      </w:r>
      <w:r w:rsidR="001C2022" w:rsidRPr="007E00F2">
        <w:rPr>
          <w:rFonts w:ascii="Times New Roman" w:hAnsi="Times New Roman"/>
          <w:color w:val="FF0000"/>
          <w:lang w:val="en-US" w:eastAsia="pt-PT"/>
        </w:rPr>
        <w:t xml:space="preserve"> </w:t>
      </w:r>
      <w:r w:rsidR="001C2022" w:rsidRPr="001C2022">
        <w:rPr>
          <w:rFonts w:ascii="Times New Roman" w:hAnsi="Times New Roman"/>
          <w:lang w:val="en-US" w:eastAsia="pt-PT"/>
        </w:rPr>
        <w:t xml:space="preserve">and importance in various sectors, especially </w:t>
      </w:r>
      <w:r w:rsidR="007E00F2">
        <w:rPr>
          <w:rFonts w:ascii="Times New Roman" w:hAnsi="Times New Roman"/>
          <w:lang w:val="en-US" w:eastAsia="pt-PT"/>
        </w:rPr>
        <w:t>regarding</w:t>
      </w:r>
      <w:r w:rsidR="001C2022" w:rsidRPr="001C2022">
        <w:rPr>
          <w:rFonts w:ascii="Times New Roman" w:hAnsi="Times New Roman"/>
          <w:lang w:val="en-US" w:eastAsia="pt-PT"/>
        </w:rPr>
        <w:t xml:space="preserve"> the training and qualification of human resources. For Angola, a country that has gone </w:t>
      </w:r>
      <w:r w:rsidR="007E00F2">
        <w:rPr>
          <w:rFonts w:ascii="Times New Roman" w:hAnsi="Times New Roman"/>
          <w:lang w:val="en-US" w:eastAsia="pt-PT"/>
        </w:rPr>
        <w:t xml:space="preserve">through various constraints </w:t>
      </w:r>
      <w:r w:rsidR="007E00F2" w:rsidRPr="007E00F2">
        <w:rPr>
          <w:rFonts w:ascii="Times New Roman" w:hAnsi="Times New Roman"/>
          <w:color w:val="FF0000"/>
          <w:lang w:val="en-US" w:eastAsia="pt-PT"/>
        </w:rPr>
        <w:t>this</w:t>
      </w:r>
      <w:r w:rsidR="001C2022" w:rsidRPr="007E00F2">
        <w:rPr>
          <w:rFonts w:ascii="Times New Roman" w:hAnsi="Times New Roman"/>
          <w:color w:val="FF0000"/>
          <w:lang w:val="en-US" w:eastAsia="pt-PT"/>
        </w:rPr>
        <w:t xml:space="preserve"> </w:t>
      </w:r>
      <w:r w:rsidR="001C2022" w:rsidRPr="001C2022">
        <w:rPr>
          <w:rFonts w:ascii="Times New Roman" w:hAnsi="Times New Roman"/>
          <w:lang w:val="en-US" w:eastAsia="pt-PT"/>
        </w:rPr>
        <w:t xml:space="preserve">importance is emphasized, </w:t>
      </w:r>
      <w:r w:rsidR="007E00F2" w:rsidRPr="007E00F2">
        <w:rPr>
          <w:rFonts w:ascii="Times New Roman" w:hAnsi="Times New Roman"/>
          <w:color w:val="FF0000"/>
          <w:lang w:val="en-US" w:eastAsia="pt-PT"/>
        </w:rPr>
        <w:t>considering that</w:t>
      </w:r>
      <w:r w:rsidR="001C2022" w:rsidRPr="007E00F2">
        <w:rPr>
          <w:rFonts w:ascii="Times New Roman" w:hAnsi="Times New Roman"/>
          <w:color w:val="FF0000"/>
          <w:lang w:val="en-US" w:eastAsia="pt-PT"/>
        </w:rPr>
        <w:t xml:space="preserve"> </w:t>
      </w:r>
      <w:r w:rsidR="001C2022" w:rsidRPr="001C2022">
        <w:rPr>
          <w:rFonts w:ascii="Times New Roman" w:hAnsi="Times New Roman"/>
          <w:lang w:val="en-US" w:eastAsia="pt-PT"/>
        </w:rPr>
        <w:t>the training of human resources has been possible mainly with the implementation of various cooperation agreements with different countries, which stand out Portugal and Brazil</w:t>
      </w:r>
      <w:r w:rsidR="001C2022">
        <w:rPr>
          <w:rFonts w:ascii="Times New Roman" w:hAnsi="Times New Roman"/>
          <w:lang w:val="en-US" w:eastAsia="pt-PT"/>
        </w:rPr>
        <w:t>.</w:t>
      </w:r>
    </w:p>
    <w:p w:rsidR="0016468C" w:rsidRPr="00C85E14" w:rsidRDefault="0016468C" w:rsidP="00C85E14">
      <w:pPr>
        <w:spacing w:line="240" w:lineRule="auto"/>
        <w:jc w:val="both"/>
        <w:rPr>
          <w:rFonts w:ascii="Times New Roman" w:hAnsi="Times New Roman"/>
          <w:b/>
          <w:lang w:val="en-US" w:eastAsia="pt-PT"/>
        </w:rPr>
      </w:pPr>
      <w:r w:rsidRPr="00C85E14">
        <w:rPr>
          <w:rFonts w:ascii="Times New Roman" w:hAnsi="Times New Roman"/>
          <w:b/>
          <w:lang w:val="en-US" w:eastAsia="pt-PT"/>
        </w:rPr>
        <w:t>Keywords:</w:t>
      </w:r>
      <w:r w:rsidR="00FA1171" w:rsidRPr="00C85E14">
        <w:rPr>
          <w:rFonts w:ascii="Times New Roman" w:hAnsi="Times New Roman"/>
          <w:b/>
          <w:lang w:val="en-US" w:eastAsia="pt-PT"/>
        </w:rPr>
        <w:t xml:space="preserve"> </w:t>
      </w:r>
      <w:r w:rsidR="007E00F2" w:rsidRPr="007E00F2">
        <w:rPr>
          <w:rFonts w:ascii="Times New Roman" w:hAnsi="Times New Roman"/>
          <w:lang w:val="en-US" w:eastAsia="pt-PT"/>
        </w:rPr>
        <w:t>H</w:t>
      </w:r>
      <w:r w:rsidR="00FA1171" w:rsidRPr="007E00F2">
        <w:rPr>
          <w:rFonts w:ascii="Times New Roman" w:hAnsi="Times New Roman"/>
          <w:lang w:val="en-US" w:eastAsia="pt-PT"/>
        </w:rPr>
        <w:t>i</w:t>
      </w:r>
      <w:r w:rsidR="007E00F2">
        <w:rPr>
          <w:rFonts w:ascii="Times New Roman" w:hAnsi="Times New Roman"/>
          <w:lang w:val="en-US" w:eastAsia="pt-PT"/>
        </w:rPr>
        <w:t>gher Education, International C</w:t>
      </w:r>
      <w:r w:rsidR="00FA1171" w:rsidRPr="00C85E14">
        <w:rPr>
          <w:rFonts w:ascii="Times New Roman" w:hAnsi="Times New Roman"/>
          <w:lang w:val="en-US" w:eastAsia="pt-PT"/>
        </w:rPr>
        <w:t>ooperation, Angola</w:t>
      </w:r>
    </w:p>
    <w:p w:rsidR="0016468C" w:rsidRPr="00FA1171" w:rsidRDefault="0016468C">
      <w:pPr>
        <w:rPr>
          <w:rFonts w:ascii="Times New Roman" w:hAnsi="Times New Roman"/>
          <w:b/>
          <w:sz w:val="24"/>
          <w:szCs w:val="24"/>
          <w:lang w:val="en-US" w:eastAsia="pt-PT"/>
        </w:rPr>
      </w:pPr>
      <w:r w:rsidRPr="00FA1171">
        <w:rPr>
          <w:rFonts w:ascii="Times New Roman" w:hAnsi="Times New Roman"/>
          <w:b/>
          <w:sz w:val="24"/>
          <w:szCs w:val="24"/>
          <w:lang w:val="en-US" w:eastAsia="pt-PT"/>
        </w:rPr>
        <w:br w:type="page"/>
      </w:r>
    </w:p>
    <w:p w:rsidR="007B61EA" w:rsidRPr="007B61EA" w:rsidRDefault="007B61EA" w:rsidP="001C2022">
      <w:pPr>
        <w:ind w:firstLine="567"/>
        <w:jc w:val="center"/>
        <w:rPr>
          <w:rFonts w:ascii="Times New Roman" w:hAnsi="Times New Roman"/>
          <w:b/>
          <w:sz w:val="24"/>
          <w:szCs w:val="24"/>
          <w:lang w:eastAsia="pt-PT"/>
        </w:rPr>
      </w:pPr>
      <w:r w:rsidRPr="007B61EA">
        <w:rPr>
          <w:rFonts w:ascii="Times New Roman" w:hAnsi="Times New Roman"/>
          <w:b/>
          <w:sz w:val="24"/>
          <w:szCs w:val="24"/>
          <w:lang w:eastAsia="pt-PT"/>
        </w:rPr>
        <w:lastRenderedPageBreak/>
        <w:t>Introdução</w:t>
      </w:r>
    </w:p>
    <w:p w:rsidR="0016049D" w:rsidRDefault="00FD29D6" w:rsidP="00317CDB">
      <w:pPr>
        <w:spacing w:after="0" w:line="360" w:lineRule="auto"/>
        <w:ind w:firstLine="567"/>
        <w:jc w:val="both"/>
        <w:rPr>
          <w:rFonts w:ascii="Times New Roman" w:hAnsi="Times New Roman"/>
          <w:sz w:val="24"/>
          <w:szCs w:val="24"/>
        </w:rPr>
      </w:pPr>
      <w:r>
        <w:rPr>
          <w:rFonts w:ascii="Times New Roman" w:hAnsi="Times New Roman"/>
          <w:sz w:val="24"/>
          <w:szCs w:val="24"/>
        </w:rPr>
        <w:t xml:space="preserve">A </w:t>
      </w:r>
      <w:r w:rsidR="002503CB">
        <w:rPr>
          <w:rFonts w:ascii="Times New Roman" w:hAnsi="Times New Roman"/>
          <w:sz w:val="24"/>
          <w:szCs w:val="24"/>
        </w:rPr>
        <w:t>educação superior</w:t>
      </w:r>
      <w:r>
        <w:rPr>
          <w:rFonts w:ascii="Times New Roman" w:hAnsi="Times New Roman"/>
          <w:sz w:val="24"/>
          <w:szCs w:val="24"/>
        </w:rPr>
        <w:t xml:space="preserve"> em Angola tem passado por diversos constrangimentos que </w:t>
      </w:r>
      <w:r w:rsidR="002503CB">
        <w:rPr>
          <w:rFonts w:ascii="Times New Roman" w:hAnsi="Times New Roman"/>
          <w:sz w:val="24"/>
          <w:szCs w:val="24"/>
        </w:rPr>
        <w:t>têm condicionado</w:t>
      </w:r>
      <w:r>
        <w:rPr>
          <w:rFonts w:ascii="Times New Roman" w:hAnsi="Times New Roman"/>
          <w:sz w:val="24"/>
          <w:szCs w:val="24"/>
        </w:rPr>
        <w:t xml:space="preserve"> a sua evolução positiva bem como a sua afirmação</w:t>
      </w:r>
      <w:r w:rsidR="00B231C4">
        <w:rPr>
          <w:rFonts w:ascii="Times New Roman" w:hAnsi="Times New Roman"/>
          <w:sz w:val="24"/>
          <w:szCs w:val="24"/>
        </w:rPr>
        <w:t xml:space="preserve"> no cenário internacional e até regional o que tem levado, ao longo dos anos, à saída de estudantes angolanos para o exterior, em busca de melhores oportunidades </w:t>
      </w:r>
      <w:r w:rsidR="004F6B66">
        <w:rPr>
          <w:rFonts w:ascii="Times New Roman" w:hAnsi="Times New Roman"/>
          <w:sz w:val="24"/>
          <w:szCs w:val="24"/>
        </w:rPr>
        <w:t>de formação</w:t>
      </w:r>
      <w:r w:rsidR="00B231C4">
        <w:rPr>
          <w:rFonts w:ascii="Times New Roman" w:hAnsi="Times New Roman"/>
          <w:sz w:val="24"/>
          <w:szCs w:val="24"/>
        </w:rPr>
        <w:t>.</w:t>
      </w:r>
      <w:r w:rsidR="00225D5C">
        <w:rPr>
          <w:rFonts w:ascii="Times New Roman" w:hAnsi="Times New Roman"/>
          <w:sz w:val="24"/>
          <w:szCs w:val="24"/>
        </w:rPr>
        <w:t xml:space="preserve"> </w:t>
      </w:r>
      <w:r w:rsidR="0016049D">
        <w:rPr>
          <w:rFonts w:ascii="Times New Roman" w:hAnsi="Times New Roman"/>
          <w:sz w:val="24"/>
          <w:szCs w:val="24"/>
        </w:rPr>
        <w:t xml:space="preserve">Essa deslocação realça a importância da cooperação em todo esse processo pois, é </w:t>
      </w:r>
      <w:r w:rsidR="002503CB">
        <w:rPr>
          <w:rFonts w:ascii="Times New Roman" w:hAnsi="Times New Roman"/>
          <w:sz w:val="24"/>
          <w:szCs w:val="24"/>
        </w:rPr>
        <w:t>no âmbito</w:t>
      </w:r>
      <w:r w:rsidR="002503CB" w:rsidRPr="00D22FD8">
        <w:rPr>
          <w:rFonts w:ascii="Times New Roman" w:hAnsi="Times New Roman"/>
          <w:sz w:val="24"/>
          <w:szCs w:val="24"/>
        </w:rPr>
        <w:t xml:space="preserve"> os acordos estabelecidos que são decididos os países de destino, bem como as condições a que os estudantes ficam sujeitos</w:t>
      </w:r>
      <w:r w:rsidR="007E00F2">
        <w:rPr>
          <w:rFonts w:ascii="Times New Roman" w:hAnsi="Times New Roman"/>
          <w:sz w:val="24"/>
          <w:szCs w:val="24"/>
        </w:rPr>
        <w:t>.</w:t>
      </w:r>
    </w:p>
    <w:p w:rsidR="00DA21FB" w:rsidRDefault="00DA21FB" w:rsidP="00DA21FB">
      <w:pPr>
        <w:spacing w:after="0" w:line="360" w:lineRule="auto"/>
        <w:ind w:firstLine="540"/>
        <w:jc w:val="both"/>
        <w:rPr>
          <w:rFonts w:ascii="Times New Roman" w:hAnsi="Times New Roman"/>
          <w:sz w:val="24"/>
          <w:szCs w:val="24"/>
        </w:rPr>
      </w:pPr>
      <w:r w:rsidRPr="00D22FD8">
        <w:rPr>
          <w:rFonts w:ascii="Times New Roman" w:hAnsi="Times New Roman"/>
          <w:sz w:val="24"/>
          <w:szCs w:val="24"/>
        </w:rPr>
        <w:t>Neste processo, Portugal e Brasil, assumem um papel de destaque. As ligações históricas e culturais bem como a partilha do mesmo idioma, fortalece</w:t>
      </w:r>
      <w:r>
        <w:rPr>
          <w:rFonts w:ascii="Times New Roman" w:hAnsi="Times New Roman"/>
          <w:sz w:val="24"/>
          <w:szCs w:val="24"/>
        </w:rPr>
        <w:t>ra</w:t>
      </w:r>
      <w:r w:rsidRPr="00D22FD8">
        <w:rPr>
          <w:rFonts w:ascii="Times New Roman" w:hAnsi="Times New Roman"/>
          <w:sz w:val="24"/>
          <w:szCs w:val="24"/>
        </w:rPr>
        <w:t>m as relações de amizade e de cooperação</w:t>
      </w:r>
      <w:r>
        <w:rPr>
          <w:rFonts w:ascii="Times New Roman" w:hAnsi="Times New Roman"/>
          <w:sz w:val="24"/>
          <w:szCs w:val="24"/>
        </w:rPr>
        <w:t xml:space="preserve"> com estes países</w:t>
      </w:r>
      <w:r w:rsidRPr="00D22FD8">
        <w:rPr>
          <w:rFonts w:ascii="Times New Roman" w:hAnsi="Times New Roman"/>
          <w:sz w:val="24"/>
          <w:szCs w:val="24"/>
        </w:rPr>
        <w:t>, e funciona</w:t>
      </w:r>
      <w:r>
        <w:rPr>
          <w:rFonts w:ascii="Times New Roman" w:hAnsi="Times New Roman"/>
          <w:sz w:val="24"/>
          <w:szCs w:val="24"/>
        </w:rPr>
        <w:t>ra</w:t>
      </w:r>
      <w:r w:rsidRPr="00D22FD8">
        <w:rPr>
          <w:rFonts w:ascii="Times New Roman" w:hAnsi="Times New Roman"/>
          <w:sz w:val="24"/>
          <w:szCs w:val="24"/>
        </w:rPr>
        <w:t xml:space="preserve">m como fatores decisivos na escolha </w:t>
      </w:r>
      <w:r>
        <w:rPr>
          <w:rFonts w:ascii="Times New Roman" w:hAnsi="Times New Roman"/>
          <w:sz w:val="24"/>
          <w:szCs w:val="24"/>
        </w:rPr>
        <w:t>do</w:t>
      </w:r>
      <w:r w:rsidRPr="00D22FD8">
        <w:rPr>
          <w:rFonts w:ascii="Times New Roman" w:hAnsi="Times New Roman"/>
          <w:sz w:val="24"/>
          <w:szCs w:val="24"/>
        </w:rPr>
        <w:t xml:space="preserve"> destino para</w:t>
      </w:r>
      <w:r>
        <w:rPr>
          <w:rFonts w:ascii="Times New Roman" w:hAnsi="Times New Roman"/>
          <w:sz w:val="24"/>
          <w:szCs w:val="24"/>
        </w:rPr>
        <w:t xml:space="preserve"> a formação superior</w:t>
      </w:r>
      <w:r w:rsidRPr="00D22FD8">
        <w:rPr>
          <w:rFonts w:ascii="Times New Roman" w:hAnsi="Times New Roman"/>
          <w:sz w:val="24"/>
          <w:szCs w:val="24"/>
        </w:rPr>
        <w:t xml:space="preserve">. </w:t>
      </w:r>
      <w:r w:rsidR="0016049D">
        <w:rPr>
          <w:rFonts w:ascii="Times New Roman" w:hAnsi="Times New Roman"/>
          <w:sz w:val="24"/>
          <w:szCs w:val="24"/>
        </w:rPr>
        <w:t xml:space="preserve">Por outro lado, as dinâmicas que as sociedades </w:t>
      </w:r>
      <w:r w:rsidR="002503CB">
        <w:rPr>
          <w:rFonts w:ascii="Times New Roman" w:hAnsi="Times New Roman"/>
          <w:sz w:val="24"/>
          <w:szCs w:val="24"/>
        </w:rPr>
        <w:t>atualmente</w:t>
      </w:r>
      <w:r w:rsidR="0016049D">
        <w:rPr>
          <w:rFonts w:ascii="Times New Roman" w:hAnsi="Times New Roman"/>
          <w:sz w:val="24"/>
          <w:szCs w:val="24"/>
        </w:rPr>
        <w:t xml:space="preserve"> estão sujeitas realçam ainda mais a importância do estabelecimento desse tipo de acordos, tendo como fim único a melhoria da qualificação de recursos humanos, para</w:t>
      </w:r>
      <w:r w:rsidR="007E00F2">
        <w:rPr>
          <w:rFonts w:ascii="Times New Roman" w:hAnsi="Times New Roman"/>
          <w:sz w:val="24"/>
          <w:szCs w:val="24"/>
        </w:rPr>
        <w:t xml:space="preserve"> </w:t>
      </w:r>
      <w:r w:rsidR="007E00F2" w:rsidRPr="007E00F2">
        <w:rPr>
          <w:rFonts w:ascii="Times New Roman" w:hAnsi="Times New Roman"/>
          <w:color w:val="FF0000"/>
          <w:sz w:val="24"/>
          <w:szCs w:val="24"/>
        </w:rPr>
        <w:t>que</w:t>
      </w:r>
      <w:r w:rsidR="0016049D" w:rsidRPr="007E00F2">
        <w:rPr>
          <w:rFonts w:ascii="Times New Roman" w:hAnsi="Times New Roman"/>
          <w:color w:val="FF0000"/>
          <w:sz w:val="24"/>
          <w:szCs w:val="24"/>
        </w:rPr>
        <w:t xml:space="preserve"> </w:t>
      </w:r>
      <w:r w:rsidR="0016049D">
        <w:rPr>
          <w:rFonts w:ascii="Times New Roman" w:hAnsi="Times New Roman"/>
          <w:sz w:val="24"/>
          <w:szCs w:val="24"/>
        </w:rPr>
        <w:t xml:space="preserve">os mesmos possam ser envolvidos no processo de desenvolvimento </w:t>
      </w:r>
      <w:r w:rsidR="002503CB">
        <w:rPr>
          <w:rFonts w:ascii="Times New Roman" w:hAnsi="Times New Roman"/>
          <w:sz w:val="24"/>
          <w:szCs w:val="24"/>
        </w:rPr>
        <w:t>dos respe</w:t>
      </w:r>
      <w:r w:rsidR="0016049D">
        <w:rPr>
          <w:rFonts w:ascii="Times New Roman" w:hAnsi="Times New Roman"/>
          <w:sz w:val="24"/>
          <w:szCs w:val="24"/>
        </w:rPr>
        <w:t>tivos pa</w:t>
      </w:r>
      <w:r w:rsidR="00B4515D">
        <w:rPr>
          <w:rFonts w:ascii="Times New Roman" w:hAnsi="Times New Roman"/>
          <w:sz w:val="24"/>
          <w:szCs w:val="24"/>
        </w:rPr>
        <w:t xml:space="preserve">íses. </w:t>
      </w:r>
    </w:p>
    <w:p w:rsidR="00CA148F" w:rsidRDefault="00B4515D" w:rsidP="00DA21FB">
      <w:pPr>
        <w:spacing w:after="0" w:line="360" w:lineRule="auto"/>
        <w:ind w:firstLine="540"/>
        <w:jc w:val="both"/>
        <w:rPr>
          <w:rFonts w:ascii="Times New Roman" w:hAnsi="Times New Roman"/>
          <w:sz w:val="24"/>
          <w:szCs w:val="24"/>
        </w:rPr>
      </w:pPr>
      <w:r>
        <w:rPr>
          <w:rFonts w:ascii="Times New Roman" w:hAnsi="Times New Roman"/>
          <w:sz w:val="24"/>
          <w:szCs w:val="24"/>
        </w:rPr>
        <w:t xml:space="preserve">Assim, começamos </w:t>
      </w:r>
      <w:r w:rsidR="00CA148F">
        <w:rPr>
          <w:rFonts w:ascii="Times New Roman" w:hAnsi="Times New Roman"/>
          <w:sz w:val="24"/>
          <w:szCs w:val="24"/>
        </w:rPr>
        <w:t>por abordar o</w:t>
      </w:r>
      <w:r>
        <w:rPr>
          <w:rFonts w:ascii="Times New Roman" w:hAnsi="Times New Roman"/>
          <w:sz w:val="24"/>
          <w:szCs w:val="24"/>
        </w:rPr>
        <w:t xml:space="preserve"> papel </w:t>
      </w:r>
      <w:r w:rsidR="00CA148F">
        <w:rPr>
          <w:rFonts w:ascii="Times New Roman" w:hAnsi="Times New Roman"/>
          <w:sz w:val="24"/>
          <w:szCs w:val="24"/>
        </w:rPr>
        <w:t xml:space="preserve">que a </w:t>
      </w:r>
      <w:r>
        <w:rPr>
          <w:rFonts w:ascii="Times New Roman" w:hAnsi="Times New Roman"/>
          <w:sz w:val="24"/>
          <w:szCs w:val="24"/>
        </w:rPr>
        <w:t xml:space="preserve">cooperação internacional tem assumido </w:t>
      </w:r>
      <w:r w:rsidR="00CA148F">
        <w:rPr>
          <w:rFonts w:ascii="Times New Roman" w:hAnsi="Times New Roman"/>
          <w:sz w:val="24"/>
          <w:szCs w:val="24"/>
        </w:rPr>
        <w:t>ao longo dos</w:t>
      </w:r>
      <w:r>
        <w:rPr>
          <w:rFonts w:ascii="Times New Roman" w:hAnsi="Times New Roman"/>
          <w:sz w:val="24"/>
          <w:szCs w:val="24"/>
        </w:rPr>
        <w:t xml:space="preserve"> anos</w:t>
      </w:r>
      <w:r w:rsidR="00CA148F">
        <w:rPr>
          <w:rFonts w:ascii="Times New Roman" w:hAnsi="Times New Roman"/>
          <w:sz w:val="24"/>
          <w:szCs w:val="24"/>
        </w:rPr>
        <w:t>, com destaque para os anos mais recentes</w:t>
      </w:r>
      <w:r>
        <w:rPr>
          <w:rFonts w:ascii="Times New Roman" w:hAnsi="Times New Roman"/>
          <w:sz w:val="24"/>
          <w:szCs w:val="24"/>
        </w:rPr>
        <w:t xml:space="preserve">. De seguida, analisamos, de forma breve, os motivos </w:t>
      </w:r>
      <w:r w:rsidR="00CA148F">
        <w:rPr>
          <w:rFonts w:ascii="Times New Roman" w:hAnsi="Times New Roman"/>
          <w:sz w:val="24"/>
          <w:szCs w:val="24"/>
        </w:rPr>
        <w:t xml:space="preserve">que </w:t>
      </w:r>
      <w:r>
        <w:rPr>
          <w:rFonts w:ascii="Times New Roman" w:hAnsi="Times New Roman"/>
          <w:sz w:val="24"/>
          <w:szCs w:val="24"/>
        </w:rPr>
        <w:t xml:space="preserve">têm levado </w:t>
      </w:r>
      <w:r w:rsidR="00CA148F">
        <w:rPr>
          <w:rFonts w:ascii="Times New Roman" w:hAnsi="Times New Roman"/>
          <w:sz w:val="24"/>
          <w:szCs w:val="24"/>
        </w:rPr>
        <w:t>à</w:t>
      </w:r>
      <w:r>
        <w:rPr>
          <w:rFonts w:ascii="Times New Roman" w:hAnsi="Times New Roman"/>
          <w:sz w:val="24"/>
          <w:szCs w:val="24"/>
        </w:rPr>
        <w:t xml:space="preserve"> saída de jovens angolanos para o exterior tendo como objetivo a realiza</w:t>
      </w:r>
      <w:r w:rsidR="007E00F2">
        <w:rPr>
          <w:rFonts w:ascii="Times New Roman" w:hAnsi="Times New Roman"/>
          <w:sz w:val="24"/>
          <w:szCs w:val="24"/>
        </w:rPr>
        <w:t xml:space="preserve">ção a formação superior, uma </w:t>
      </w:r>
      <w:r w:rsidR="007E00F2" w:rsidRPr="007E00F2">
        <w:rPr>
          <w:rFonts w:ascii="Times New Roman" w:hAnsi="Times New Roman"/>
          <w:color w:val="FF0000"/>
          <w:sz w:val="24"/>
          <w:szCs w:val="24"/>
        </w:rPr>
        <w:t>prá</w:t>
      </w:r>
      <w:r w:rsidRPr="007E00F2">
        <w:rPr>
          <w:rFonts w:ascii="Times New Roman" w:hAnsi="Times New Roman"/>
          <w:color w:val="FF0000"/>
          <w:sz w:val="24"/>
          <w:szCs w:val="24"/>
        </w:rPr>
        <w:t xml:space="preserve">tica </w:t>
      </w:r>
      <w:r>
        <w:rPr>
          <w:rFonts w:ascii="Times New Roman" w:hAnsi="Times New Roman"/>
          <w:sz w:val="24"/>
          <w:szCs w:val="24"/>
        </w:rPr>
        <w:t>que vem do tempo colonial e que se estendeu durante o período socialista (</w:t>
      </w:r>
      <w:r w:rsidR="00CA148F">
        <w:rPr>
          <w:rFonts w:ascii="Times New Roman" w:hAnsi="Times New Roman"/>
          <w:sz w:val="24"/>
          <w:szCs w:val="24"/>
        </w:rPr>
        <w:t>1975-1991), intensificando-se nos</w:t>
      </w:r>
      <w:r>
        <w:rPr>
          <w:rFonts w:ascii="Times New Roman" w:hAnsi="Times New Roman"/>
          <w:sz w:val="24"/>
          <w:szCs w:val="24"/>
        </w:rPr>
        <w:t xml:space="preserve"> anos </w:t>
      </w:r>
      <w:r w:rsidR="007E00F2">
        <w:rPr>
          <w:rFonts w:ascii="Times New Roman" w:hAnsi="Times New Roman"/>
          <w:sz w:val="24"/>
          <w:szCs w:val="24"/>
        </w:rPr>
        <w:t xml:space="preserve">seguintes, como o </w:t>
      </w:r>
      <w:r w:rsidR="007E00F2" w:rsidRPr="007E00F2">
        <w:rPr>
          <w:rFonts w:ascii="Times New Roman" w:hAnsi="Times New Roman"/>
          <w:color w:val="FF0000"/>
          <w:sz w:val="24"/>
          <w:szCs w:val="24"/>
        </w:rPr>
        <w:t>reiní</w:t>
      </w:r>
      <w:r w:rsidRPr="007E00F2">
        <w:rPr>
          <w:rFonts w:ascii="Times New Roman" w:hAnsi="Times New Roman"/>
          <w:color w:val="FF0000"/>
          <w:sz w:val="24"/>
          <w:szCs w:val="24"/>
        </w:rPr>
        <w:t xml:space="preserve">cio </w:t>
      </w:r>
      <w:r>
        <w:rPr>
          <w:rFonts w:ascii="Times New Roman" w:hAnsi="Times New Roman"/>
          <w:sz w:val="24"/>
          <w:szCs w:val="24"/>
        </w:rPr>
        <w:t xml:space="preserve">da guerra civil. Para terminar, focamos a relação </w:t>
      </w:r>
      <w:r w:rsidR="00CA148F">
        <w:rPr>
          <w:rFonts w:ascii="Times New Roman" w:hAnsi="Times New Roman"/>
          <w:sz w:val="24"/>
          <w:szCs w:val="24"/>
        </w:rPr>
        <w:t xml:space="preserve">de proximidade entre Angola, Portugal e o Brasil, dois importantes destinos dos estudantes angolanos, bem como dois importantes países no que toca aos acordos de cooperação para o ensino superior. </w:t>
      </w:r>
    </w:p>
    <w:p w:rsidR="00CA148F" w:rsidRDefault="00CA148F" w:rsidP="00DA21FB">
      <w:pPr>
        <w:spacing w:after="0" w:line="360" w:lineRule="auto"/>
        <w:ind w:firstLine="540"/>
        <w:jc w:val="both"/>
        <w:rPr>
          <w:rFonts w:ascii="Times New Roman" w:hAnsi="Times New Roman"/>
          <w:sz w:val="24"/>
          <w:szCs w:val="24"/>
        </w:rPr>
      </w:pPr>
    </w:p>
    <w:p w:rsidR="00DA21FB" w:rsidRPr="00CD660A" w:rsidRDefault="00DA21FB" w:rsidP="00DA21FB">
      <w:pPr>
        <w:pStyle w:val="PargrafodaLista"/>
        <w:keepNext/>
        <w:numPr>
          <w:ilvl w:val="0"/>
          <w:numId w:val="32"/>
        </w:numPr>
        <w:tabs>
          <w:tab w:val="left" w:pos="426"/>
          <w:tab w:val="left" w:pos="1843"/>
        </w:tabs>
        <w:spacing w:before="240" w:after="60"/>
        <w:contextualSpacing w:val="0"/>
        <w:outlineLvl w:val="1"/>
        <w:rPr>
          <w:rFonts w:ascii="Times New Roman" w:hAnsi="Times New Roman"/>
          <w:b/>
          <w:bCs/>
          <w:iCs/>
          <w:vanish/>
          <w:sz w:val="24"/>
          <w:szCs w:val="24"/>
        </w:rPr>
      </w:pPr>
      <w:bookmarkStart w:id="0" w:name="_Toc321228680"/>
      <w:bookmarkStart w:id="1" w:name="_Toc321229242"/>
      <w:bookmarkStart w:id="2" w:name="_Toc321304831"/>
      <w:bookmarkStart w:id="3" w:name="_Toc321307368"/>
      <w:bookmarkStart w:id="4" w:name="_Toc321307452"/>
      <w:bookmarkStart w:id="5" w:name="_Toc321228681"/>
      <w:bookmarkStart w:id="6" w:name="_Toc321229243"/>
      <w:bookmarkStart w:id="7" w:name="_Toc321304832"/>
      <w:bookmarkStart w:id="8" w:name="_Toc321307369"/>
      <w:bookmarkStart w:id="9" w:name="_Toc321307453"/>
      <w:bookmarkEnd w:id="0"/>
      <w:bookmarkEnd w:id="1"/>
      <w:bookmarkEnd w:id="2"/>
      <w:bookmarkEnd w:id="3"/>
      <w:bookmarkEnd w:id="4"/>
      <w:bookmarkEnd w:id="5"/>
      <w:bookmarkEnd w:id="6"/>
      <w:bookmarkEnd w:id="7"/>
      <w:bookmarkEnd w:id="8"/>
      <w:bookmarkEnd w:id="9"/>
    </w:p>
    <w:p w:rsidR="00DA21FB" w:rsidRPr="00CD660A" w:rsidRDefault="00DA21FB" w:rsidP="00DA21FB">
      <w:pPr>
        <w:pStyle w:val="PargrafodaLista"/>
        <w:keepNext/>
        <w:numPr>
          <w:ilvl w:val="0"/>
          <w:numId w:val="32"/>
        </w:numPr>
        <w:tabs>
          <w:tab w:val="left" w:pos="426"/>
          <w:tab w:val="left" w:pos="1843"/>
        </w:tabs>
        <w:spacing w:before="240" w:after="60"/>
        <w:contextualSpacing w:val="0"/>
        <w:outlineLvl w:val="1"/>
        <w:rPr>
          <w:rFonts w:ascii="Times New Roman" w:hAnsi="Times New Roman"/>
          <w:b/>
          <w:bCs/>
          <w:iCs/>
          <w:vanish/>
          <w:sz w:val="24"/>
          <w:szCs w:val="24"/>
        </w:rPr>
      </w:pPr>
      <w:bookmarkStart w:id="10" w:name="_Toc321228682"/>
      <w:bookmarkStart w:id="11" w:name="_Toc321229244"/>
      <w:bookmarkStart w:id="12" w:name="_Toc321304833"/>
      <w:bookmarkStart w:id="13" w:name="_Toc321307370"/>
      <w:bookmarkStart w:id="14" w:name="_Toc321307454"/>
      <w:bookmarkEnd w:id="10"/>
      <w:bookmarkEnd w:id="11"/>
      <w:bookmarkEnd w:id="12"/>
      <w:bookmarkEnd w:id="13"/>
      <w:bookmarkEnd w:id="14"/>
    </w:p>
    <w:p w:rsidR="00DA21FB" w:rsidRDefault="00DA21FB" w:rsidP="00DA21FB"/>
    <w:p w:rsidR="000010FF" w:rsidRDefault="000010FF">
      <w:pPr>
        <w:rPr>
          <w:rFonts w:ascii="Times New Roman" w:hAnsi="Times New Roman"/>
          <w:b/>
          <w:bCs/>
          <w:iCs/>
          <w:sz w:val="24"/>
          <w:szCs w:val="24"/>
          <w:lang w:eastAsia="pt-PT"/>
        </w:rPr>
      </w:pPr>
      <w:bookmarkStart w:id="15" w:name="_Toc321307456"/>
      <w:r>
        <w:rPr>
          <w:rFonts w:ascii="Times New Roman" w:hAnsi="Times New Roman"/>
          <w:b/>
          <w:bCs/>
          <w:iCs/>
          <w:sz w:val="24"/>
          <w:szCs w:val="24"/>
          <w:lang w:eastAsia="pt-PT"/>
        </w:rPr>
        <w:br w:type="page"/>
      </w:r>
    </w:p>
    <w:p w:rsidR="000010FF" w:rsidRPr="00D22FD8" w:rsidRDefault="00477EDC" w:rsidP="002C2599">
      <w:pPr>
        <w:pStyle w:val="Cabealho2"/>
        <w:jc w:val="center"/>
      </w:pPr>
      <w:bookmarkStart w:id="16" w:name="_Toc346758071"/>
      <w:r>
        <w:lastRenderedPageBreak/>
        <w:t>A importância da cooperação na formação superior de a</w:t>
      </w:r>
      <w:r w:rsidR="000010FF" w:rsidRPr="00D22FD8">
        <w:t>ngolanos</w:t>
      </w:r>
      <w:bookmarkEnd w:id="16"/>
    </w:p>
    <w:p w:rsidR="000010FF" w:rsidRPr="00D22FD8" w:rsidRDefault="000010FF" w:rsidP="00CA148F">
      <w:pPr>
        <w:spacing w:after="0" w:line="360" w:lineRule="auto"/>
        <w:ind w:firstLine="900"/>
        <w:jc w:val="both"/>
        <w:rPr>
          <w:rFonts w:ascii="Times New Roman" w:hAnsi="Times New Roman"/>
          <w:sz w:val="24"/>
          <w:szCs w:val="24"/>
        </w:rPr>
      </w:pPr>
      <w:r w:rsidRPr="00D22FD8">
        <w:rPr>
          <w:rFonts w:ascii="Times New Roman" w:hAnsi="Times New Roman"/>
          <w:sz w:val="24"/>
          <w:szCs w:val="24"/>
        </w:rPr>
        <w:t xml:space="preserve">A cooperação define-se como um processo social através do qual os seus intervenientes procuram realizar objetivos comuns. </w:t>
      </w:r>
      <w:r>
        <w:rPr>
          <w:rFonts w:ascii="Times New Roman" w:hAnsi="Times New Roman"/>
          <w:sz w:val="24"/>
          <w:szCs w:val="24"/>
        </w:rPr>
        <w:t>Quanto à cooperação entre e</w:t>
      </w:r>
      <w:r w:rsidRPr="00D22FD8">
        <w:rPr>
          <w:rFonts w:ascii="Times New Roman" w:hAnsi="Times New Roman"/>
          <w:sz w:val="24"/>
          <w:szCs w:val="24"/>
        </w:rPr>
        <w:t>stados, de acordo co</w:t>
      </w:r>
      <w:r w:rsidR="007E00F2">
        <w:rPr>
          <w:rFonts w:ascii="Times New Roman" w:hAnsi="Times New Roman"/>
          <w:sz w:val="24"/>
          <w:szCs w:val="24"/>
        </w:rPr>
        <w:t xml:space="preserve">m </w:t>
      </w:r>
      <w:r w:rsidR="007E00F2" w:rsidRPr="007E00F2">
        <w:rPr>
          <w:rFonts w:ascii="Times New Roman" w:hAnsi="Times New Roman"/>
          <w:color w:val="FF0000"/>
          <w:sz w:val="24"/>
          <w:szCs w:val="24"/>
        </w:rPr>
        <w:t>Fernandes; Martins e Rodrigues</w:t>
      </w:r>
      <w:r w:rsidRPr="007E00F2">
        <w:rPr>
          <w:rFonts w:ascii="Times New Roman" w:hAnsi="Times New Roman"/>
          <w:color w:val="FF0000"/>
          <w:sz w:val="24"/>
          <w:szCs w:val="24"/>
        </w:rPr>
        <w:t xml:space="preserve">: </w:t>
      </w:r>
    </w:p>
    <w:p w:rsidR="000010FF" w:rsidRPr="007E00F2" w:rsidRDefault="000010FF" w:rsidP="00A52F43">
      <w:pPr>
        <w:spacing w:after="0" w:line="240" w:lineRule="auto"/>
        <w:ind w:left="2880" w:right="44"/>
        <w:jc w:val="both"/>
        <w:rPr>
          <w:rFonts w:ascii="Times New Roman" w:hAnsi="Times New Roman"/>
          <w:color w:val="FF0000"/>
        </w:rPr>
      </w:pPr>
      <w:r w:rsidRPr="007E00F2">
        <w:rPr>
          <w:rFonts w:ascii="Times New Roman" w:hAnsi="Times New Roman"/>
        </w:rPr>
        <w:t>A cooperação afirma-se como um dever dos estados, uns perante os outros, dentro dos princípios de subsidiariedade contidos na carta das Nações Unidas. Quer na relação estado a estado, quer de forma multilateral, cooperar significa evitar que os países sofram uma dependência total do exterior, vivam uma marginalização face ao mundo de alto padrão de rendimento e caiam numa pobreza crescente</w:t>
      </w:r>
      <w:r w:rsidRPr="00CA148F">
        <w:rPr>
          <w:rFonts w:ascii="Times New Roman" w:hAnsi="Times New Roman"/>
          <w:i/>
        </w:rPr>
        <w:t xml:space="preserve"> </w:t>
      </w:r>
      <w:r w:rsidRPr="007E00F2">
        <w:rPr>
          <w:rFonts w:ascii="Times New Roman" w:hAnsi="Times New Roman"/>
          <w:color w:val="FF0000"/>
        </w:rPr>
        <w:t>(</w:t>
      </w:r>
      <w:r w:rsidR="00E21D72" w:rsidRPr="007E00F2">
        <w:rPr>
          <w:rFonts w:ascii="Times New Roman" w:hAnsi="Times New Roman"/>
          <w:color w:val="FF0000"/>
        </w:rPr>
        <w:t>FERNANDES</w:t>
      </w:r>
      <w:r w:rsidR="007E00F2" w:rsidRPr="007E00F2">
        <w:rPr>
          <w:rFonts w:ascii="Times New Roman" w:hAnsi="Times New Roman"/>
          <w:color w:val="FF0000"/>
        </w:rPr>
        <w:t>; MARTINS; RODRIGUES,</w:t>
      </w:r>
      <w:r w:rsidR="00E21D72" w:rsidRPr="007E00F2">
        <w:rPr>
          <w:rFonts w:ascii="Times New Roman" w:hAnsi="Times New Roman"/>
          <w:color w:val="FF0000"/>
        </w:rPr>
        <w:t xml:space="preserve"> 2005, p.</w:t>
      </w:r>
      <w:r w:rsidRPr="007E00F2">
        <w:rPr>
          <w:rFonts w:ascii="Times New Roman" w:hAnsi="Times New Roman"/>
          <w:color w:val="FF0000"/>
        </w:rPr>
        <w:t xml:space="preserve"> 15).</w:t>
      </w:r>
    </w:p>
    <w:p w:rsidR="000010FF" w:rsidRPr="00D22FD8" w:rsidRDefault="000010FF" w:rsidP="00CA148F">
      <w:pPr>
        <w:spacing w:after="0" w:line="360" w:lineRule="auto"/>
        <w:ind w:firstLine="900"/>
        <w:jc w:val="both"/>
        <w:rPr>
          <w:rFonts w:ascii="Times New Roman" w:hAnsi="Times New Roman"/>
          <w:sz w:val="24"/>
          <w:szCs w:val="24"/>
          <w:lang w:eastAsia="pt-PT"/>
        </w:rPr>
      </w:pPr>
      <w:r>
        <w:rPr>
          <w:rFonts w:ascii="Times New Roman" w:hAnsi="Times New Roman"/>
          <w:sz w:val="24"/>
          <w:szCs w:val="24"/>
          <w:lang w:eastAsia="pt-PT"/>
        </w:rPr>
        <w:t>Na celebração de protocolos de</w:t>
      </w:r>
      <w:r w:rsidRPr="00D22FD8">
        <w:rPr>
          <w:rFonts w:ascii="Times New Roman" w:hAnsi="Times New Roman"/>
          <w:sz w:val="24"/>
          <w:szCs w:val="24"/>
          <w:lang w:eastAsia="pt-PT"/>
        </w:rPr>
        <w:t xml:space="preserve"> cooperação está ass</w:t>
      </w:r>
      <w:r>
        <w:rPr>
          <w:rFonts w:ascii="Times New Roman" w:hAnsi="Times New Roman"/>
          <w:sz w:val="24"/>
          <w:szCs w:val="24"/>
          <w:lang w:eastAsia="pt-PT"/>
        </w:rPr>
        <w:t>im implícita</w:t>
      </w:r>
      <w:r w:rsidRPr="00D22FD8">
        <w:rPr>
          <w:rFonts w:ascii="Times New Roman" w:hAnsi="Times New Roman"/>
          <w:sz w:val="24"/>
          <w:szCs w:val="24"/>
          <w:lang w:eastAsia="pt-PT"/>
        </w:rPr>
        <w:t xml:space="preserve"> a “criação de mecanismos e o estabelecimento de laços de solidariedade” (</w:t>
      </w:r>
      <w:r w:rsidR="00E21D72">
        <w:rPr>
          <w:rFonts w:ascii="Times New Roman" w:hAnsi="Times New Roman"/>
          <w:sz w:val="24"/>
          <w:szCs w:val="24"/>
          <w:lang w:eastAsia="pt-PT"/>
        </w:rPr>
        <w:t>AFONSO, 1995, p.</w:t>
      </w:r>
      <w:r w:rsidRPr="00D22FD8">
        <w:rPr>
          <w:rFonts w:ascii="Times New Roman" w:hAnsi="Times New Roman"/>
          <w:sz w:val="24"/>
          <w:szCs w:val="24"/>
          <w:lang w:eastAsia="pt-PT"/>
        </w:rPr>
        <w:t xml:space="preserve"> 13), bem como uma conjugação de esfo</w:t>
      </w:r>
      <w:r>
        <w:rPr>
          <w:rFonts w:ascii="Times New Roman" w:hAnsi="Times New Roman"/>
          <w:sz w:val="24"/>
          <w:szCs w:val="24"/>
          <w:lang w:eastAsia="pt-PT"/>
        </w:rPr>
        <w:t>rços tendo em vista o mesmo fim.</w:t>
      </w:r>
    </w:p>
    <w:p w:rsidR="000010FF" w:rsidRPr="00D22FD8" w:rsidRDefault="000010FF" w:rsidP="00CA148F">
      <w:pPr>
        <w:spacing w:after="0" w:line="360" w:lineRule="auto"/>
        <w:ind w:firstLine="900"/>
        <w:jc w:val="both"/>
        <w:rPr>
          <w:rFonts w:ascii="Times New Roman" w:hAnsi="Times New Roman"/>
          <w:sz w:val="24"/>
          <w:szCs w:val="24"/>
          <w:lang w:eastAsia="pt-PT"/>
        </w:rPr>
      </w:pPr>
      <w:r>
        <w:rPr>
          <w:rFonts w:ascii="Times New Roman" w:hAnsi="Times New Roman"/>
          <w:sz w:val="24"/>
          <w:szCs w:val="24"/>
          <w:lang w:eastAsia="pt-PT"/>
        </w:rPr>
        <w:t>A cooperação entre E</w:t>
      </w:r>
      <w:r w:rsidRPr="00D22FD8">
        <w:rPr>
          <w:rFonts w:ascii="Times New Roman" w:hAnsi="Times New Roman"/>
          <w:sz w:val="24"/>
          <w:szCs w:val="24"/>
          <w:lang w:eastAsia="pt-PT"/>
        </w:rPr>
        <w:t>stados (</w:t>
      </w:r>
      <w:r>
        <w:rPr>
          <w:rFonts w:ascii="Times New Roman" w:hAnsi="Times New Roman"/>
          <w:sz w:val="24"/>
          <w:szCs w:val="24"/>
          <w:lang w:eastAsia="pt-PT"/>
        </w:rPr>
        <w:t xml:space="preserve">cooperação </w:t>
      </w:r>
      <w:r w:rsidRPr="00D22FD8">
        <w:rPr>
          <w:rFonts w:ascii="Times New Roman" w:hAnsi="Times New Roman"/>
          <w:sz w:val="24"/>
          <w:szCs w:val="24"/>
          <w:lang w:eastAsia="pt-PT"/>
        </w:rPr>
        <w:t>bilateral) pode abranger diversas áreas (económica, cultural, educativa, saúde, etc</w:t>
      </w:r>
      <w:r>
        <w:rPr>
          <w:rFonts w:ascii="Times New Roman" w:hAnsi="Times New Roman"/>
          <w:sz w:val="24"/>
          <w:szCs w:val="24"/>
          <w:lang w:eastAsia="pt-PT"/>
        </w:rPr>
        <w:t>.</w:t>
      </w:r>
      <w:r w:rsidRPr="00D22FD8">
        <w:rPr>
          <w:rFonts w:ascii="Times New Roman" w:hAnsi="Times New Roman"/>
          <w:sz w:val="24"/>
          <w:szCs w:val="24"/>
          <w:lang w:eastAsia="pt-PT"/>
        </w:rPr>
        <w:t>). O conceito assume especial importância na década de 1970 ao ser utilizado para caraterizar a nece</w:t>
      </w:r>
      <w:r>
        <w:rPr>
          <w:rFonts w:ascii="Times New Roman" w:hAnsi="Times New Roman"/>
          <w:sz w:val="24"/>
          <w:szCs w:val="24"/>
          <w:lang w:eastAsia="pt-PT"/>
        </w:rPr>
        <w:t>ssidade de desenvolvimento dos e</w:t>
      </w:r>
      <w:r w:rsidRPr="00D22FD8">
        <w:rPr>
          <w:rFonts w:ascii="Times New Roman" w:hAnsi="Times New Roman"/>
          <w:sz w:val="24"/>
          <w:szCs w:val="24"/>
          <w:lang w:eastAsia="pt-PT"/>
        </w:rPr>
        <w:t>stados recém-independentes. Na altura</w:t>
      </w:r>
      <w:r w:rsidR="007E00F2" w:rsidRPr="007E00F2">
        <w:rPr>
          <w:rFonts w:ascii="Times New Roman" w:hAnsi="Times New Roman"/>
          <w:color w:val="FF0000"/>
          <w:sz w:val="24"/>
          <w:szCs w:val="24"/>
          <w:lang w:eastAsia="pt-PT"/>
        </w:rPr>
        <w:t>,</w:t>
      </w:r>
      <w:r w:rsidRPr="00D22FD8">
        <w:rPr>
          <w:rFonts w:ascii="Times New Roman" w:hAnsi="Times New Roman"/>
          <w:sz w:val="24"/>
          <w:szCs w:val="24"/>
          <w:lang w:eastAsia="pt-PT"/>
        </w:rPr>
        <w:t xml:space="preserve"> a cooperação era entendida como a prestação da ajuda aos países menos desenvolvidos - ajuda dos países do norte aos países do sul (</w:t>
      </w:r>
      <w:r>
        <w:rPr>
          <w:rFonts w:ascii="Times New Roman" w:hAnsi="Times New Roman"/>
          <w:sz w:val="24"/>
          <w:szCs w:val="24"/>
          <w:lang w:eastAsia="pt-PT"/>
        </w:rPr>
        <w:t xml:space="preserve">cooperação </w:t>
      </w:r>
      <w:r w:rsidRPr="00D22FD8">
        <w:rPr>
          <w:rFonts w:ascii="Times New Roman" w:hAnsi="Times New Roman"/>
          <w:sz w:val="24"/>
          <w:szCs w:val="24"/>
          <w:lang w:eastAsia="pt-PT"/>
        </w:rPr>
        <w:t>norte-sul) - vista durante muitos anos como “um ato unil</w:t>
      </w:r>
      <w:r w:rsidR="00E21D72">
        <w:rPr>
          <w:rFonts w:ascii="Times New Roman" w:hAnsi="Times New Roman"/>
          <w:sz w:val="24"/>
          <w:szCs w:val="24"/>
          <w:lang w:eastAsia="pt-PT"/>
        </w:rPr>
        <w:t>ateral de caridade” (PNUD, 2005, p.</w:t>
      </w:r>
      <w:r w:rsidRPr="00D22FD8">
        <w:rPr>
          <w:rFonts w:ascii="Times New Roman" w:hAnsi="Times New Roman"/>
          <w:sz w:val="24"/>
          <w:szCs w:val="24"/>
          <w:lang w:eastAsia="pt-PT"/>
        </w:rPr>
        <w:t xml:space="preserve"> 7). As alterações políticas e económicas</w:t>
      </w:r>
      <w:r w:rsidR="00733649">
        <w:rPr>
          <w:rFonts w:ascii="Times New Roman" w:hAnsi="Times New Roman"/>
          <w:sz w:val="24"/>
          <w:szCs w:val="24"/>
          <w:lang w:eastAsia="pt-PT"/>
        </w:rPr>
        <w:t xml:space="preserve"> ocorridas um pouco por todo o mundo</w:t>
      </w:r>
      <w:r w:rsidRPr="00D22FD8">
        <w:rPr>
          <w:rFonts w:ascii="Times New Roman" w:hAnsi="Times New Roman"/>
          <w:sz w:val="24"/>
          <w:szCs w:val="24"/>
          <w:lang w:eastAsia="pt-PT"/>
        </w:rPr>
        <w:t xml:space="preserve"> conduziram a uma evolução deste </w:t>
      </w:r>
      <w:r>
        <w:rPr>
          <w:rFonts w:ascii="Times New Roman" w:hAnsi="Times New Roman"/>
          <w:sz w:val="24"/>
          <w:szCs w:val="24"/>
          <w:lang w:eastAsia="pt-PT"/>
        </w:rPr>
        <w:t>conceito</w:t>
      </w:r>
      <w:r w:rsidRPr="00D22FD8">
        <w:rPr>
          <w:rFonts w:ascii="Times New Roman" w:hAnsi="Times New Roman"/>
          <w:sz w:val="24"/>
          <w:szCs w:val="24"/>
          <w:lang w:eastAsia="pt-PT"/>
        </w:rPr>
        <w:t xml:space="preserve"> de cooperação reorientando-o para a</w:t>
      </w:r>
      <w:r>
        <w:rPr>
          <w:rFonts w:ascii="Times New Roman" w:hAnsi="Times New Roman"/>
          <w:sz w:val="24"/>
          <w:szCs w:val="24"/>
          <w:lang w:eastAsia="pt-PT"/>
        </w:rPr>
        <w:t>:</w:t>
      </w:r>
      <w:r w:rsidRPr="00D22FD8">
        <w:rPr>
          <w:rFonts w:ascii="Times New Roman" w:hAnsi="Times New Roman"/>
          <w:sz w:val="24"/>
          <w:szCs w:val="24"/>
          <w:lang w:eastAsia="pt-PT"/>
        </w:rPr>
        <w:t xml:space="preserve"> </w:t>
      </w:r>
    </w:p>
    <w:p w:rsidR="000010FF" w:rsidRPr="00D22FD8" w:rsidRDefault="000010FF" w:rsidP="000010FF">
      <w:pPr>
        <w:spacing w:after="0" w:line="240" w:lineRule="auto"/>
        <w:ind w:left="567" w:right="565"/>
        <w:jc w:val="both"/>
        <w:rPr>
          <w:rFonts w:ascii="Times New Roman" w:hAnsi="Times New Roman"/>
          <w:sz w:val="20"/>
          <w:szCs w:val="20"/>
          <w:lang w:eastAsia="pt-PT"/>
        </w:rPr>
      </w:pPr>
    </w:p>
    <w:p w:rsidR="000010FF" w:rsidRPr="00477EDC" w:rsidRDefault="000010FF" w:rsidP="00A52F43">
      <w:pPr>
        <w:spacing w:after="0" w:line="240" w:lineRule="auto"/>
        <w:ind w:left="2880" w:right="44"/>
        <w:jc w:val="both"/>
        <w:rPr>
          <w:rFonts w:ascii="Times New Roman" w:hAnsi="Times New Roman"/>
          <w:lang w:eastAsia="pt-PT"/>
        </w:rPr>
      </w:pPr>
      <w:r w:rsidRPr="007E00F2">
        <w:rPr>
          <w:rFonts w:ascii="Times New Roman" w:hAnsi="Times New Roman"/>
          <w:lang w:eastAsia="pt-PT"/>
        </w:rPr>
        <w:t>Necessidade de transferência de tecnologia, a participação dos técnicos dos países beneficiários na conceção e execução dos projetos, a responsabilização das populações na utilização dos benefícios colhidos na cooperação, a formação constante de técnicos que possam dar continuidade às ações iniciadas em cada programa ou projeto</w:t>
      </w:r>
      <w:r w:rsidRPr="00CA148F">
        <w:rPr>
          <w:rFonts w:ascii="Times New Roman" w:hAnsi="Times New Roman"/>
          <w:i/>
          <w:lang w:eastAsia="pt-PT"/>
        </w:rPr>
        <w:t xml:space="preserve"> </w:t>
      </w:r>
      <w:r w:rsidRPr="00477EDC">
        <w:rPr>
          <w:rFonts w:ascii="Times New Roman" w:hAnsi="Times New Roman"/>
          <w:lang w:eastAsia="pt-PT"/>
        </w:rPr>
        <w:t>(</w:t>
      </w:r>
      <w:r w:rsidR="000452F8" w:rsidRPr="007E00F2">
        <w:rPr>
          <w:rFonts w:ascii="Times New Roman" w:hAnsi="Times New Roman"/>
          <w:color w:val="FF0000"/>
          <w:lang w:eastAsia="pt-PT"/>
        </w:rPr>
        <w:t>FERNANDES</w:t>
      </w:r>
      <w:r w:rsidR="007E00F2" w:rsidRPr="007E00F2">
        <w:rPr>
          <w:rFonts w:ascii="Times New Roman" w:hAnsi="Times New Roman"/>
          <w:color w:val="FF0000"/>
          <w:lang w:eastAsia="pt-PT"/>
        </w:rPr>
        <w:t>; MARTINS; RODRIGUES</w:t>
      </w:r>
      <w:r w:rsidR="00477EDC" w:rsidRPr="007E00F2">
        <w:rPr>
          <w:rFonts w:ascii="Times New Roman" w:hAnsi="Times New Roman"/>
          <w:color w:val="FF0000"/>
          <w:lang w:eastAsia="pt-PT"/>
        </w:rPr>
        <w:t>, 2005, p.</w:t>
      </w:r>
      <w:r w:rsidRPr="007E00F2">
        <w:rPr>
          <w:rFonts w:ascii="Times New Roman" w:hAnsi="Times New Roman"/>
          <w:color w:val="FF0000"/>
          <w:lang w:eastAsia="pt-PT"/>
        </w:rPr>
        <w:t xml:space="preserve"> 15). </w:t>
      </w:r>
    </w:p>
    <w:p w:rsidR="000010FF" w:rsidRPr="00D22FD8" w:rsidRDefault="000010FF" w:rsidP="000010FF">
      <w:pPr>
        <w:spacing w:after="0" w:line="240" w:lineRule="auto"/>
        <w:ind w:firstLine="567"/>
        <w:jc w:val="both"/>
        <w:rPr>
          <w:rFonts w:ascii="Times New Roman" w:hAnsi="Times New Roman"/>
          <w:sz w:val="20"/>
          <w:szCs w:val="20"/>
          <w:lang w:eastAsia="pt-PT"/>
        </w:rPr>
      </w:pPr>
    </w:p>
    <w:p w:rsidR="000010FF" w:rsidRPr="00D22FD8" w:rsidRDefault="000010FF" w:rsidP="00CA148F">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Por outro lado, ganha cada vez mais relevância a cooperação entre os países do sul (cooperação sul-sul), que envolve soluções e tecnologias desenvolvid</w:t>
      </w:r>
      <w:r>
        <w:rPr>
          <w:rFonts w:ascii="Times New Roman" w:hAnsi="Times New Roman"/>
          <w:sz w:val="24"/>
          <w:szCs w:val="24"/>
          <w:lang w:eastAsia="pt-PT"/>
        </w:rPr>
        <w:t>as pelos próprios países do sul (onde se inscreve a cooperação Angola-Brasil).</w:t>
      </w:r>
    </w:p>
    <w:p w:rsidR="000010FF" w:rsidRPr="00D22FD8" w:rsidRDefault="000010FF" w:rsidP="00CA148F">
      <w:pPr>
        <w:spacing w:line="360" w:lineRule="auto"/>
        <w:ind w:firstLine="900"/>
        <w:jc w:val="both"/>
        <w:rPr>
          <w:rFonts w:ascii="Times New Roman" w:hAnsi="Times New Roman"/>
          <w:sz w:val="24"/>
          <w:szCs w:val="24"/>
        </w:rPr>
      </w:pPr>
      <w:r>
        <w:rPr>
          <w:rFonts w:ascii="Times New Roman" w:hAnsi="Times New Roman"/>
          <w:sz w:val="24"/>
          <w:szCs w:val="24"/>
          <w:lang w:eastAsia="pt-PT"/>
        </w:rPr>
        <w:t xml:space="preserve">A Cimeira do Milénio (2000) </w:t>
      </w:r>
      <w:r w:rsidRPr="00D22FD8">
        <w:rPr>
          <w:rFonts w:ascii="Times New Roman" w:hAnsi="Times New Roman"/>
          <w:sz w:val="24"/>
          <w:szCs w:val="24"/>
          <w:lang w:eastAsia="pt-PT"/>
        </w:rPr>
        <w:t>deu início a um novo cenário no processo de cooperação, ao dar origem a um compr</w:t>
      </w:r>
      <w:r>
        <w:rPr>
          <w:rFonts w:ascii="Times New Roman" w:hAnsi="Times New Roman"/>
          <w:sz w:val="24"/>
          <w:szCs w:val="24"/>
          <w:lang w:eastAsia="pt-PT"/>
        </w:rPr>
        <w:t>omisso político assumido pelos E</w:t>
      </w:r>
      <w:r w:rsidRPr="00D22FD8">
        <w:rPr>
          <w:rFonts w:ascii="Times New Roman" w:hAnsi="Times New Roman"/>
          <w:sz w:val="24"/>
          <w:szCs w:val="24"/>
          <w:lang w:eastAsia="pt-PT"/>
        </w:rPr>
        <w:t>stados na defesa dos prin</w:t>
      </w:r>
      <w:r>
        <w:rPr>
          <w:rFonts w:ascii="Times New Roman" w:hAnsi="Times New Roman"/>
          <w:sz w:val="24"/>
          <w:szCs w:val="24"/>
          <w:lang w:eastAsia="pt-PT"/>
        </w:rPr>
        <w:t>cípios de liberdade e igualdade,</w:t>
      </w:r>
      <w:r w:rsidRPr="00D22FD8">
        <w:rPr>
          <w:rFonts w:ascii="Times New Roman" w:hAnsi="Times New Roman"/>
          <w:sz w:val="24"/>
          <w:szCs w:val="24"/>
          <w:lang w:eastAsia="pt-PT"/>
        </w:rPr>
        <w:t xml:space="preserve"> respeito pelo ambiente e partilha de responsabilidades. </w:t>
      </w:r>
      <w:r w:rsidRPr="007E00F2">
        <w:rPr>
          <w:rFonts w:ascii="Times New Roman" w:hAnsi="Times New Roman"/>
          <w:color w:val="FF0000"/>
          <w:sz w:val="24"/>
          <w:szCs w:val="24"/>
          <w:lang w:eastAsia="pt-PT"/>
        </w:rPr>
        <w:t xml:space="preserve">Os </w:t>
      </w:r>
      <w:r w:rsidR="007E00F2" w:rsidRPr="007E00F2">
        <w:rPr>
          <w:rFonts w:ascii="Times New Roman" w:hAnsi="Times New Roman"/>
          <w:color w:val="FF0000"/>
          <w:sz w:val="24"/>
          <w:szCs w:val="24"/>
          <w:lang w:eastAsia="pt-PT"/>
        </w:rPr>
        <w:t>Objetivos de Desenvolvimento do Milénio (</w:t>
      </w:r>
      <w:r w:rsidRPr="007E00F2">
        <w:rPr>
          <w:rFonts w:ascii="Times New Roman" w:hAnsi="Times New Roman"/>
          <w:color w:val="FF0000"/>
          <w:sz w:val="24"/>
          <w:szCs w:val="24"/>
          <w:lang w:eastAsia="pt-PT"/>
        </w:rPr>
        <w:t>ODM</w:t>
      </w:r>
      <w:r w:rsidR="007E00F2" w:rsidRPr="007E00F2">
        <w:rPr>
          <w:rFonts w:ascii="Times New Roman" w:hAnsi="Times New Roman"/>
          <w:color w:val="FF0000"/>
          <w:sz w:val="24"/>
          <w:szCs w:val="24"/>
          <w:lang w:eastAsia="pt-PT"/>
        </w:rPr>
        <w:t>)</w:t>
      </w:r>
      <w:r w:rsidRPr="007E00F2">
        <w:rPr>
          <w:rFonts w:ascii="Times New Roman" w:hAnsi="Times New Roman"/>
          <w:color w:val="FF0000"/>
          <w:sz w:val="24"/>
          <w:szCs w:val="24"/>
          <w:lang w:eastAsia="pt-PT"/>
        </w:rPr>
        <w:t xml:space="preserve"> </w:t>
      </w:r>
      <w:r w:rsidRPr="00D22FD8">
        <w:rPr>
          <w:rFonts w:ascii="Times New Roman" w:hAnsi="Times New Roman"/>
          <w:sz w:val="24"/>
          <w:szCs w:val="24"/>
          <w:lang w:eastAsia="pt-PT"/>
        </w:rPr>
        <w:t>passaram assim a constituir o quadro de referência de cooperação entre os pa</w:t>
      </w:r>
      <w:r>
        <w:rPr>
          <w:rFonts w:ascii="Times New Roman" w:hAnsi="Times New Roman"/>
          <w:sz w:val="24"/>
          <w:szCs w:val="24"/>
          <w:lang w:eastAsia="pt-PT"/>
        </w:rPr>
        <w:t xml:space="preserve">íses uma vez que é com base </w:t>
      </w:r>
      <w:r>
        <w:rPr>
          <w:rFonts w:ascii="Times New Roman" w:hAnsi="Times New Roman"/>
          <w:sz w:val="24"/>
          <w:szCs w:val="24"/>
          <w:lang w:eastAsia="pt-PT"/>
        </w:rPr>
        <w:lastRenderedPageBreak/>
        <w:t>nest</w:t>
      </w:r>
      <w:r w:rsidRPr="00D22FD8">
        <w:rPr>
          <w:rFonts w:ascii="Times New Roman" w:hAnsi="Times New Roman"/>
          <w:sz w:val="24"/>
          <w:szCs w:val="24"/>
          <w:lang w:eastAsia="pt-PT"/>
        </w:rPr>
        <w:t>es objetivos gerais que cada país doador estabelece as metas específicas da sua política de cooperação. No que toca à cooperação na área da educação, esta assenta</w:t>
      </w:r>
      <w:r w:rsidR="007E00F2" w:rsidRPr="007E00F2">
        <w:rPr>
          <w:rFonts w:ascii="Times New Roman" w:hAnsi="Times New Roman"/>
          <w:color w:val="FF0000"/>
          <w:sz w:val="24"/>
          <w:szCs w:val="24"/>
          <w:lang w:eastAsia="pt-PT"/>
        </w:rPr>
        <w:t>,</w:t>
      </w:r>
      <w:r w:rsidRPr="00D22FD8">
        <w:rPr>
          <w:rFonts w:ascii="Times New Roman" w:hAnsi="Times New Roman"/>
          <w:sz w:val="24"/>
          <w:szCs w:val="24"/>
          <w:lang w:eastAsia="pt-PT"/>
        </w:rPr>
        <w:t xml:space="preserve"> sobretudo</w:t>
      </w:r>
      <w:r w:rsidR="007E00F2" w:rsidRPr="007E00F2">
        <w:rPr>
          <w:rFonts w:ascii="Times New Roman" w:hAnsi="Times New Roman"/>
          <w:color w:val="FF0000"/>
          <w:sz w:val="24"/>
          <w:szCs w:val="24"/>
          <w:lang w:eastAsia="pt-PT"/>
        </w:rPr>
        <w:t>,</w:t>
      </w:r>
      <w:r w:rsidRPr="00D22FD8">
        <w:rPr>
          <w:rFonts w:ascii="Times New Roman" w:hAnsi="Times New Roman"/>
          <w:sz w:val="24"/>
          <w:szCs w:val="24"/>
          <w:lang w:eastAsia="pt-PT"/>
        </w:rPr>
        <w:t xml:space="preserve"> numa troca de apoios mediante protocolos estabelecidos entre países, tendo como fim a reciprocidade na partilha de recursos humanos, mas igualmente a consolidação das relações de amizade e de alianças políticas. Orientados pelos ODM</w:t>
      </w:r>
      <w:r>
        <w:rPr>
          <w:rFonts w:ascii="Times New Roman" w:hAnsi="Times New Roman"/>
          <w:sz w:val="24"/>
          <w:szCs w:val="24"/>
          <w:lang w:eastAsia="pt-PT"/>
        </w:rPr>
        <w:t xml:space="preserve">, </w:t>
      </w:r>
      <w:r w:rsidRPr="00D22FD8">
        <w:rPr>
          <w:rFonts w:ascii="Times New Roman" w:hAnsi="Times New Roman"/>
          <w:sz w:val="24"/>
          <w:szCs w:val="24"/>
          <w:lang w:eastAsia="pt-PT"/>
        </w:rPr>
        <w:t>os protocolos de cooperação na área da educação passaram a assentar</w:t>
      </w:r>
      <w:r w:rsidR="005156FB" w:rsidRPr="005156FB">
        <w:rPr>
          <w:rFonts w:ascii="Times New Roman" w:hAnsi="Times New Roman"/>
          <w:color w:val="FF0000"/>
          <w:sz w:val="24"/>
          <w:szCs w:val="24"/>
          <w:lang w:eastAsia="pt-PT"/>
        </w:rPr>
        <w:t>,</w:t>
      </w:r>
      <w:r w:rsidRPr="00D22FD8">
        <w:rPr>
          <w:rFonts w:ascii="Times New Roman" w:hAnsi="Times New Roman"/>
          <w:sz w:val="24"/>
          <w:szCs w:val="24"/>
          <w:lang w:eastAsia="pt-PT"/>
        </w:rPr>
        <w:t xml:space="preserve"> sobretudo</w:t>
      </w:r>
      <w:r w:rsidR="005156FB" w:rsidRPr="005156FB">
        <w:rPr>
          <w:rFonts w:ascii="Times New Roman" w:hAnsi="Times New Roman"/>
          <w:color w:val="FF0000"/>
          <w:sz w:val="24"/>
          <w:szCs w:val="24"/>
          <w:lang w:eastAsia="pt-PT"/>
        </w:rPr>
        <w:t>,</w:t>
      </w:r>
      <w:r w:rsidRPr="00D22FD8">
        <w:rPr>
          <w:rFonts w:ascii="Times New Roman" w:hAnsi="Times New Roman"/>
          <w:sz w:val="24"/>
          <w:szCs w:val="24"/>
          <w:lang w:eastAsia="pt-PT"/>
        </w:rPr>
        <w:t xml:space="preserve"> no ensino primário</w:t>
      </w:r>
      <w:r w:rsidR="005156FB" w:rsidRPr="005156FB">
        <w:rPr>
          <w:rFonts w:ascii="Times New Roman" w:hAnsi="Times New Roman"/>
          <w:color w:val="FF0000"/>
          <w:sz w:val="24"/>
          <w:szCs w:val="24"/>
          <w:lang w:eastAsia="pt-PT"/>
        </w:rPr>
        <w:t>,</w:t>
      </w:r>
      <w:r w:rsidRPr="00D22FD8">
        <w:rPr>
          <w:rFonts w:ascii="Times New Roman" w:hAnsi="Times New Roman"/>
          <w:sz w:val="24"/>
          <w:szCs w:val="24"/>
          <w:lang w:eastAsia="pt-PT"/>
        </w:rPr>
        <w:t xml:space="preserve"> de modo a se atingir a meta estabelecida para 2015</w:t>
      </w:r>
      <w:r>
        <w:rPr>
          <w:rFonts w:ascii="Times New Roman" w:hAnsi="Times New Roman"/>
          <w:sz w:val="24"/>
          <w:szCs w:val="24"/>
          <w:lang w:eastAsia="pt-PT"/>
        </w:rPr>
        <w:t>:</w:t>
      </w:r>
      <w:r w:rsidRPr="00D22FD8">
        <w:rPr>
          <w:rFonts w:ascii="Times New Roman" w:hAnsi="Times New Roman"/>
          <w:sz w:val="24"/>
          <w:szCs w:val="24"/>
          <w:lang w:eastAsia="pt-PT"/>
        </w:rPr>
        <w:t xml:space="preserve"> alcançar o ensino primário universal. </w:t>
      </w:r>
      <w:r w:rsidRPr="00023C4B">
        <w:rPr>
          <w:rFonts w:ascii="Times New Roman" w:hAnsi="Times New Roman"/>
          <w:sz w:val="24"/>
          <w:szCs w:val="24"/>
        </w:rPr>
        <w:t xml:space="preserve">Embora o destaque seja atribuído ao ensino primário, </w:t>
      </w:r>
      <w:r>
        <w:rPr>
          <w:rFonts w:ascii="Times New Roman" w:hAnsi="Times New Roman"/>
          <w:sz w:val="24"/>
          <w:szCs w:val="24"/>
        </w:rPr>
        <w:t>no “</w:t>
      </w:r>
      <w:r w:rsidRPr="00DD1AC3">
        <w:rPr>
          <w:rFonts w:ascii="Times New Roman" w:hAnsi="Times New Roman"/>
          <w:sz w:val="24"/>
          <w:szCs w:val="24"/>
        </w:rPr>
        <w:t>quadro do acordo estratégico da União Europeia (UE) para África, adotado em Outubro de 2005, e que promove a realização dos ODM, é reconhecida a importância do desenvolvimento do ensino superior e da sua internacionalização (</w:t>
      </w:r>
      <w:r w:rsidR="00477EDC">
        <w:rPr>
          <w:rFonts w:ascii="Times New Roman" w:hAnsi="Times New Roman"/>
          <w:sz w:val="24"/>
          <w:szCs w:val="24"/>
        </w:rPr>
        <w:t>CARVALHO</w:t>
      </w:r>
      <w:r w:rsidRPr="00DD1AC3">
        <w:rPr>
          <w:rFonts w:ascii="Times New Roman" w:hAnsi="Times New Roman"/>
          <w:sz w:val="24"/>
          <w:szCs w:val="24"/>
        </w:rPr>
        <w:t>, 2010</w:t>
      </w:r>
      <w:r w:rsidR="00E21D72">
        <w:rPr>
          <w:rFonts w:ascii="Times New Roman" w:hAnsi="Times New Roman"/>
          <w:sz w:val="24"/>
          <w:szCs w:val="24"/>
        </w:rPr>
        <w:t>, p.</w:t>
      </w:r>
      <w:r w:rsidRPr="00DD1AC3">
        <w:rPr>
          <w:rFonts w:ascii="Times New Roman" w:hAnsi="Times New Roman"/>
          <w:sz w:val="24"/>
          <w:szCs w:val="24"/>
        </w:rPr>
        <w:t xml:space="preserve"> 43).</w:t>
      </w:r>
      <w:r w:rsidRPr="004C3799">
        <w:rPr>
          <w:rFonts w:ascii="Times New Roman" w:hAnsi="Times New Roman"/>
          <w:b/>
          <w:sz w:val="24"/>
          <w:szCs w:val="24"/>
        </w:rPr>
        <w:t xml:space="preserve"> </w:t>
      </w:r>
      <w:r>
        <w:rPr>
          <w:rFonts w:ascii="Times New Roman" w:hAnsi="Times New Roman"/>
          <w:sz w:val="24"/>
          <w:szCs w:val="24"/>
        </w:rPr>
        <w:t>Deste modo,</w:t>
      </w:r>
      <w:r w:rsidRPr="00E5596D">
        <w:rPr>
          <w:rFonts w:ascii="Times New Roman" w:hAnsi="Times New Roman"/>
          <w:sz w:val="24"/>
          <w:szCs w:val="24"/>
        </w:rPr>
        <w:t xml:space="preserve"> a cooperação internacional, no âmbito do ensino superior</w:t>
      </w:r>
      <w:r>
        <w:rPr>
          <w:rFonts w:ascii="Times New Roman" w:hAnsi="Times New Roman"/>
          <w:sz w:val="24"/>
          <w:szCs w:val="24"/>
        </w:rPr>
        <w:t>,</w:t>
      </w:r>
      <w:r w:rsidRPr="00023C4B">
        <w:rPr>
          <w:rFonts w:ascii="Times New Roman" w:hAnsi="Times New Roman"/>
          <w:sz w:val="24"/>
          <w:szCs w:val="24"/>
        </w:rPr>
        <w:t xml:space="preserve"> assume particular importância </w:t>
      </w:r>
      <w:r>
        <w:rPr>
          <w:rFonts w:ascii="Times New Roman" w:hAnsi="Times New Roman"/>
          <w:sz w:val="24"/>
          <w:szCs w:val="24"/>
        </w:rPr>
        <w:t>n</w:t>
      </w:r>
      <w:r w:rsidRPr="00023C4B">
        <w:rPr>
          <w:rFonts w:ascii="Times New Roman" w:hAnsi="Times New Roman"/>
          <w:sz w:val="24"/>
          <w:szCs w:val="24"/>
        </w:rPr>
        <w:t>os</w:t>
      </w:r>
      <w:r>
        <w:rPr>
          <w:rFonts w:ascii="Times New Roman" w:hAnsi="Times New Roman"/>
          <w:sz w:val="24"/>
          <w:szCs w:val="24"/>
        </w:rPr>
        <w:t xml:space="preserve"> programas de cooperação com os</w:t>
      </w:r>
      <w:r w:rsidRPr="00023C4B">
        <w:rPr>
          <w:rFonts w:ascii="Times New Roman" w:hAnsi="Times New Roman"/>
          <w:sz w:val="24"/>
          <w:szCs w:val="24"/>
        </w:rPr>
        <w:t xml:space="preserve"> países do continente africano, </w:t>
      </w:r>
      <w:r>
        <w:rPr>
          <w:rFonts w:ascii="Times New Roman" w:hAnsi="Times New Roman"/>
          <w:sz w:val="24"/>
          <w:szCs w:val="24"/>
        </w:rPr>
        <w:t>sendo</w:t>
      </w:r>
      <w:r w:rsidRPr="00023C4B">
        <w:rPr>
          <w:rFonts w:ascii="Times New Roman" w:hAnsi="Times New Roman"/>
          <w:sz w:val="24"/>
          <w:szCs w:val="24"/>
        </w:rPr>
        <w:t xml:space="preserve"> Angola </w:t>
      </w:r>
      <w:r>
        <w:rPr>
          <w:rFonts w:ascii="Times New Roman" w:hAnsi="Times New Roman"/>
          <w:sz w:val="24"/>
          <w:szCs w:val="24"/>
        </w:rPr>
        <w:t>um dos países beneficiários.</w:t>
      </w:r>
      <w:r w:rsidRPr="007B4971">
        <w:rPr>
          <w:rFonts w:ascii="Times New Roman" w:hAnsi="Times New Roman"/>
          <w:sz w:val="24"/>
          <w:szCs w:val="24"/>
        </w:rPr>
        <w:t xml:space="preserve"> </w:t>
      </w:r>
      <w:r w:rsidRPr="00023C4B">
        <w:rPr>
          <w:rFonts w:ascii="Times New Roman" w:hAnsi="Times New Roman"/>
          <w:sz w:val="24"/>
          <w:szCs w:val="24"/>
        </w:rPr>
        <w:t>Essa cooperação passa</w:t>
      </w:r>
      <w:r>
        <w:rPr>
          <w:rFonts w:ascii="Times New Roman" w:hAnsi="Times New Roman"/>
          <w:sz w:val="24"/>
          <w:szCs w:val="24"/>
        </w:rPr>
        <w:t>,</w:t>
      </w:r>
      <w:r w:rsidRPr="00023C4B">
        <w:rPr>
          <w:rFonts w:ascii="Times New Roman" w:hAnsi="Times New Roman"/>
          <w:sz w:val="24"/>
          <w:szCs w:val="24"/>
        </w:rPr>
        <w:t xml:space="preserve"> não só pelo acolhimento de estudantes africanos nas instituições de ensino superior dos países desenvolvidos e pela atribuição de bolsas de estudo, mas</w:t>
      </w:r>
      <w:r w:rsidR="005156FB" w:rsidRPr="005156FB">
        <w:rPr>
          <w:rFonts w:ascii="Times New Roman" w:hAnsi="Times New Roman"/>
          <w:color w:val="FF0000"/>
          <w:sz w:val="24"/>
          <w:szCs w:val="24"/>
        </w:rPr>
        <w:t>,</w:t>
      </w:r>
      <w:r w:rsidRPr="00023C4B">
        <w:rPr>
          <w:rFonts w:ascii="Times New Roman" w:hAnsi="Times New Roman"/>
          <w:sz w:val="24"/>
          <w:szCs w:val="24"/>
        </w:rPr>
        <w:t xml:space="preserve"> sobretudo</w:t>
      </w:r>
      <w:r w:rsidR="005156FB" w:rsidRPr="005156FB">
        <w:rPr>
          <w:rFonts w:ascii="Times New Roman" w:hAnsi="Times New Roman"/>
          <w:color w:val="FF0000"/>
          <w:sz w:val="24"/>
          <w:szCs w:val="24"/>
        </w:rPr>
        <w:t>,</w:t>
      </w:r>
      <w:r w:rsidRPr="00023C4B">
        <w:rPr>
          <w:rFonts w:ascii="Times New Roman" w:hAnsi="Times New Roman"/>
          <w:sz w:val="24"/>
          <w:szCs w:val="24"/>
        </w:rPr>
        <w:t xml:space="preserve"> pela criação de redes universitárias, pela partilha de recursos e conhecimentos, pela investigação </w:t>
      </w:r>
      <w:r>
        <w:rPr>
          <w:rFonts w:ascii="Times New Roman" w:hAnsi="Times New Roman"/>
          <w:sz w:val="24"/>
          <w:szCs w:val="24"/>
        </w:rPr>
        <w:t>em parceria</w:t>
      </w:r>
      <w:r w:rsidRPr="00023C4B">
        <w:rPr>
          <w:rFonts w:ascii="Times New Roman" w:hAnsi="Times New Roman"/>
          <w:sz w:val="24"/>
          <w:szCs w:val="24"/>
        </w:rPr>
        <w:t>, assim como pela integração das universidades africanas no contexto internacional.</w:t>
      </w:r>
      <w:r w:rsidRPr="00D22FD8">
        <w:rPr>
          <w:rFonts w:ascii="Times New Roman" w:hAnsi="Times New Roman"/>
          <w:sz w:val="24"/>
          <w:szCs w:val="24"/>
          <w:lang w:eastAsia="pt-PT"/>
        </w:rPr>
        <w:t xml:space="preserve"> É neste contexto que Portugal e o Brasil assumem papéis específicos</w:t>
      </w:r>
      <w:r>
        <w:rPr>
          <w:rFonts w:ascii="Times New Roman" w:hAnsi="Times New Roman"/>
          <w:sz w:val="24"/>
          <w:szCs w:val="24"/>
          <w:lang w:eastAsia="pt-PT"/>
        </w:rPr>
        <w:t xml:space="preserve"> na cooperação com Angola</w:t>
      </w:r>
      <w:r w:rsidRPr="00D22FD8">
        <w:rPr>
          <w:rFonts w:ascii="Times New Roman" w:hAnsi="Times New Roman"/>
          <w:sz w:val="24"/>
          <w:szCs w:val="24"/>
          <w:lang w:eastAsia="pt-PT"/>
        </w:rPr>
        <w:t xml:space="preserve">, </w:t>
      </w:r>
      <w:r>
        <w:rPr>
          <w:rFonts w:ascii="Times New Roman" w:hAnsi="Times New Roman"/>
          <w:sz w:val="24"/>
          <w:szCs w:val="24"/>
          <w:lang w:eastAsia="pt-PT"/>
        </w:rPr>
        <w:t>na área da educação superior</w:t>
      </w:r>
      <w:r w:rsidRPr="00D22FD8">
        <w:rPr>
          <w:rFonts w:ascii="Times New Roman" w:hAnsi="Times New Roman"/>
          <w:sz w:val="24"/>
          <w:szCs w:val="24"/>
          <w:lang w:eastAsia="pt-PT"/>
        </w:rPr>
        <w:t xml:space="preserve">, </w:t>
      </w:r>
      <w:r>
        <w:rPr>
          <w:rFonts w:ascii="Times New Roman" w:hAnsi="Times New Roman"/>
          <w:sz w:val="24"/>
          <w:szCs w:val="24"/>
          <w:lang w:eastAsia="pt-PT"/>
        </w:rPr>
        <w:t>recebendo anualmente,</w:t>
      </w:r>
      <w:r w:rsidRPr="00D22FD8">
        <w:rPr>
          <w:rFonts w:ascii="Times New Roman" w:hAnsi="Times New Roman"/>
          <w:sz w:val="24"/>
          <w:szCs w:val="24"/>
          <w:lang w:eastAsia="pt-PT"/>
        </w:rPr>
        <w:t xml:space="preserve"> um número significativo de estudantes angolanos nos seus estabelecimentos de ensino.</w:t>
      </w:r>
    </w:p>
    <w:p w:rsidR="00305FFA" w:rsidRDefault="00305FFA">
      <w:pPr>
        <w:rPr>
          <w:rFonts w:ascii="Times New Roman" w:hAnsi="Times New Roman"/>
          <w:b/>
          <w:bCs/>
          <w:iCs/>
          <w:sz w:val="24"/>
          <w:szCs w:val="24"/>
          <w:lang w:eastAsia="pt-PT"/>
        </w:rPr>
      </w:pPr>
    </w:p>
    <w:bookmarkEnd w:id="15"/>
    <w:p w:rsidR="00403CF3" w:rsidRPr="00CD660A" w:rsidRDefault="00403CF3" w:rsidP="005156FB">
      <w:pPr>
        <w:pStyle w:val="Cabealho1"/>
        <w:spacing w:line="360" w:lineRule="auto"/>
        <w:jc w:val="both"/>
        <w:rPr>
          <w:b w:val="0"/>
          <w:bCs w:val="0"/>
          <w:iCs/>
          <w:vanish/>
        </w:rPr>
      </w:pPr>
      <w:r>
        <w:rPr>
          <w:b w:val="0"/>
        </w:rPr>
        <w:br w:type="page"/>
      </w:r>
      <w:bookmarkStart w:id="17" w:name="_Toc346756711"/>
      <w:bookmarkStart w:id="18" w:name="_Toc346757086"/>
      <w:bookmarkStart w:id="19" w:name="_Toc346757223"/>
      <w:bookmarkStart w:id="20" w:name="_Toc346757404"/>
      <w:bookmarkStart w:id="21" w:name="_Toc346757576"/>
      <w:bookmarkStart w:id="22" w:name="_Toc346757819"/>
      <w:bookmarkStart w:id="23" w:name="_Toc346758002"/>
      <w:bookmarkStart w:id="24" w:name="_Toc346756961"/>
      <w:bookmarkStart w:id="25" w:name="_Toc346757045"/>
      <w:bookmarkStart w:id="26" w:name="_Toc346757170"/>
      <w:bookmarkStart w:id="27" w:name="_Toc346757462"/>
      <w:bookmarkStart w:id="28" w:name="_Toc346758066"/>
      <w:bookmarkEnd w:id="17"/>
      <w:bookmarkEnd w:id="18"/>
      <w:bookmarkEnd w:id="19"/>
      <w:bookmarkEnd w:id="20"/>
      <w:bookmarkEnd w:id="21"/>
      <w:bookmarkEnd w:id="22"/>
      <w:bookmarkEnd w:id="23"/>
      <w:bookmarkEnd w:id="24"/>
      <w:bookmarkEnd w:id="25"/>
      <w:bookmarkEnd w:id="26"/>
      <w:bookmarkEnd w:id="27"/>
      <w:bookmarkEnd w:id="28"/>
      <w:r w:rsidR="00CA148F">
        <w:lastRenderedPageBreak/>
        <w:t>O p</w:t>
      </w:r>
    </w:p>
    <w:p w:rsidR="00403CF3" w:rsidRPr="00CD660A" w:rsidRDefault="00403CF3" w:rsidP="00CA148F">
      <w:pPr>
        <w:pStyle w:val="PargrafodaLista"/>
        <w:keepNext/>
        <w:numPr>
          <w:ilvl w:val="0"/>
          <w:numId w:val="32"/>
        </w:numPr>
        <w:tabs>
          <w:tab w:val="left" w:pos="426"/>
          <w:tab w:val="left" w:pos="1843"/>
        </w:tabs>
        <w:spacing w:before="240" w:after="60"/>
        <w:ind w:firstLine="900"/>
        <w:contextualSpacing w:val="0"/>
        <w:outlineLvl w:val="1"/>
        <w:rPr>
          <w:rFonts w:ascii="Times New Roman" w:hAnsi="Times New Roman"/>
          <w:b/>
          <w:bCs/>
          <w:iCs/>
          <w:vanish/>
          <w:sz w:val="24"/>
          <w:szCs w:val="24"/>
        </w:rPr>
      </w:pPr>
      <w:bookmarkStart w:id="29" w:name="_Toc346756712"/>
      <w:bookmarkStart w:id="30" w:name="_Toc346757087"/>
      <w:bookmarkStart w:id="31" w:name="_Toc346757224"/>
      <w:bookmarkStart w:id="32" w:name="_Toc346757405"/>
      <w:bookmarkStart w:id="33" w:name="_Toc346757577"/>
      <w:bookmarkStart w:id="34" w:name="_Toc346757820"/>
      <w:bookmarkStart w:id="35" w:name="_Toc346758003"/>
      <w:bookmarkStart w:id="36" w:name="_Toc346756962"/>
      <w:bookmarkStart w:id="37" w:name="_Toc346757046"/>
      <w:bookmarkStart w:id="38" w:name="_Toc346757171"/>
      <w:bookmarkStart w:id="39" w:name="_Toc346757463"/>
      <w:bookmarkStart w:id="40" w:name="_Toc346758067"/>
      <w:bookmarkEnd w:id="29"/>
      <w:bookmarkEnd w:id="30"/>
      <w:bookmarkEnd w:id="31"/>
      <w:bookmarkEnd w:id="32"/>
      <w:bookmarkEnd w:id="33"/>
      <w:bookmarkEnd w:id="34"/>
      <w:bookmarkEnd w:id="35"/>
      <w:bookmarkEnd w:id="36"/>
      <w:bookmarkEnd w:id="37"/>
      <w:bookmarkEnd w:id="38"/>
      <w:bookmarkEnd w:id="39"/>
      <w:bookmarkEnd w:id="40"/>
    </w:p>
    <w:p w:rsidR="00403CF3" w:rsidRPr="00CD660A" w:rsidRDefault="00403CF3" w:rsidP="00CA148F">
      <w:pPr>
        <w:pStyle w:val="PargrafodaLista"/>
        <w:keepNext/>
        <w:numPr>
          <w:ilvl w:val="0"/>
          <w:numId w:val="32"/>
        </w:numPr>
        <w:tabs>
          <w:tab w:val="left" w:pos="426"/>
          <w:tab w:val="left" w:pos="1843"/>
        </w:tabs>
        <w:spacing w:before="240" w:after="60"/>
        <w:ind w:firstLine="900"/>
        <w:contextualSpacing w:val="0"/>
        <w:outlineLvl w:val="1"/>
        <w:rPr>
          <w:rFonts w:ascii="Times New Roman" w:hAnsi="Times New Roman"/>
          <w:b/>
          <w:bCs/>
          <w:iCs/>
          <w:vanish/>
          <w:sz w:val="24"/>
          <w:szCs w:val="24"/>
        </w:rPr>
      </w:pPr>
      <w:bookmarkStart w:id="41" w:name="_Toc346756713"/>
      <w:bookmarkStart w:id="42" w:name="_Toc346757088"/>
      <w:bookmarkStart w:id="43" w:name="_Toc346757225"/>
      <w:bookmarkStart w:id="44" w:name="_Toc346757406"/>
      <w:bookmarkStart w:id="45" w:name="_Toc346757578"/>
      <w:bookmarkStart w:id="46" w:name="_Toc346757821"/>
      <w:bookmarkStart w:id="47" w:name="_Toc346758004"/>
      <w:bookmarkStart w:id="48" w:name="_Toc346756963"/>
      <w:bookmarkStart w:id="49" w:name="_Toc346757047"/>
      <w:bookmarkStart w:id="50" w:name="_Toc346757172"/>
      <w:bookmarkStart w:id="51" w:name="_Toc346757464"/>
      <w:bookmarkStart w:id="52" w:name="_Toc346758068"/>
      <w:bookmarkEnd w:id="41"/>
      <w:bookmarkEnd w:id="42"/>
      <w:bookmarkEnd w:id="43"/>
      <w:bookmarkEnd w:id="44"/>
      <w:bookmarkEnd w:id="45"/>
      <w:bookmarkEnd w:id="46"/>
      <w:bookmarkEnd w:id="47"/>
      <w:bookmarkEnd w:id="48"/>
      <w:bookmarkEnd w:id="49"/>
      <w:bookmarkEnd w:id="50"/>
      <w:bookmarkEnd w:id="51"/>
      <w:bookmarkEnd w:id="52"/>
    </w:p>
    <w:p w:rsidR="00403CF3" w:rsidRPr="00D22FD8" w:rsidRDefault="00CA148F" w:rsidP="00CA148F">
      <w:pPr>
        <w:pStyle w:val="Cabealho2"/>
        <w:tabs>
          <w:tab w:val="left" w:pos="426"/>
          <w:tab w:val="left" w:pos="1843"/>
        </w:tabs>
        <w:ind w:firstLine="900"/>
      </w:pPr>
      <w:bookmarkStart w:id="53" w:name="_Toc346758069"/>
      <w:r>
        <w:t>eríodo c</w:t>
      </w:r>
      <w:r w:rsidR="00403CF3" w:rsidRPr="00D22FD8">
        <w:t>olonial</w:t>
      </w:r>
      <w:bookmarkEnd w:id="53"/>
    </w:p>
    <w:p w:rsidR="00403CF3" w:rsidRPr="00D22FD8" w:rsidRDefault="00403CF3" w:rsidP="00CA148F">
      <w:pPr>
        <w:spacing w:after="0" w:line="360" w:lineRule="auto"/>
        <w:ind w:firstLine="900"/>
        <w:jc w:val="both"/>
        <w:rPr>
          <w:rFonts w:ascii="Times New Roman" w:hAnsi="Times New Roman"/>
          <w:sz w:val="24"/>
          <w:szCs w:val="24"/>
        </w:rPr>
      </w:pPr>
      <w:r w:rsidRPr="00D22FD8">
        <w:rPr>
          <w:rFonts w:ascii="Times New Roman" w:hAnsi="Times New Roman"/>
          <w:sz w:val="24"/>
          <w:szCs w:val="24"/>
        </w:rPr>
        <w:t xml:space="preserve">Até 1963, data de início de funcionamento dos Estudos Gerais Universitários de Angola, a formação superior de angolanos e daqueles que viviam em Angola, tinha que ser realizada </w:t>
      </w:r>
      <w:r>
        <w:rPr>
          <w:rFonts w:ascii="Times New Roman" w:hAnsi="Times New Roman"/>
          <w:sz w:val="24"/>
          <w:szCs w:val="24"/>
        </w:rPr>
        <w:t>fora deste território</w:t>
      </w:r>
      <w:r w:rsidRPr="00D22FD8">
        <w:rPr>
          <w:rFonts w:ascii="Times New Roman" w:hAnsi="Times New Roman"/>
          <w:sz w:val="24"/>
          <w:szCs w:val="24"/>
        </w:rPr>
        <w:t xml:space="preserve">, nomeadamente, em Portugal. Esse privilégio, de acesso ao ensino superior e de viajar até </w:t>
      </w:r>
      <w:r w:rsidR="005156FB" w:rsidRPr="005156FB">
        <w:rPr>
          <w:rFonts w:ascii="Times New Roman" w:hAnsi="Times New Roman"/>
          <w:color w:val="FF0000"/>
          <w:sz w:val="24"/>
          <w:szCs w:val="24"/>
        </w:rPr>
        <w:t>à</w:t>
      </w:r>
      <w:r w:rsidRPr="00D22FD8">
        <w:rPr>
          <w:rFonts w:ascii="Times New Roman" w:hAnsi="Times New Roman"/>
          <w:sz w:val="24"/>
          <w:szCs w:val="24"/>
        </w:rPr>
        <w:t xml:space="preserve"> metrópole, apresentava-se acessível a um número muito pequeno de beneficiados que constituíam, na altura, uma pequena elite. Os encargos financeiros relacionados com a deslocação e permanência na metrópole constituíam já de si uma </w:t>
      </w:r>
      <w:r>
        <w:rPr>
          <w:rFonts w:ascii="Times New Roman" w:hAnsi="Times New Roman"/>
          <w:sz w:val="24"/>
          <w:szCs w:val="24"/>
        </w:rPr>
        <w:t xml:space="preserve">forte </w:t>
      </w:r>
      <w:r w:rsidRPr="00D22FD8">
        <w:rPr>
          <w:rFonts w:ascii="Times New Roman" w:hAnsi="Times New Roman"/>
          <w:sz w:val="24"/>
          <w:szCs w:val="24"/>
        </w:rPr>
        <w:t xml:space="preserve">condicionante uma vez que, </w:t>
      </w:r>
      <w:r>
        <w:rPr>
          <w:rFonts w:ascii="Times New Roman" w:hAnsi="Times New Roman"/>
          <w:sz w:val="24"/>
          <w:szCs w:val="24"/>
        </w:rPr>
        <w:t xml:space="preserve">os custos inerentes </w:t>
      </w:r>
      <w:r w:rsidR="005156FB" w:rsidRPr="005156FB">
        <w:rPr>
          <w:rFonts w:ascii="Times New Roman" w:hAnsi="Times New Roman"/>
          <w:color w:val="FF0000"/>
          <w:sz w:val="24"/>
          <w:szCs w:val="24"/>
        </w:rPr>
        <w:t>a</w:t>
      </w:r>
      <w:r>
        <w:rPr>
          <w:rFonts w:ascii="Times New Roman" w:hAnsi="Times New Roman"/>
          <w:sz w:val="24"/>
          <w:szCs w:val="24"/>
        </w:rPr>
        <w:t xml:space="preserve"> esse processo</w:t>
      </w:r>
      <w:r w:rsidRPr="00D22FD8">
        <w:rPr>
          <w:rFonts w:ascii="Times New Roman" w:hAnsi="Times New Roman"/>
          <w:sz w:val="24"/>
          <w:szCs w:val="24"/>
        </w:rPr>
        <w:t xml:space="preserve"> ficavam ao encargo da família.</w:t>
      </w:r>
    </w:p>
    <w:p w:rsidR="00403CF3" w:rsidRPr="00E5596D" w:rsidRDefault="00403CF3" w:rsidP="00CA148F">
      <w:pPr>
        <w:spacing w:after="0" w:line="360" w:lineRule="auto"/>
        <w:ind w:firstLine="900"/>
        <w:jc w:val="both"/>
        <w:rPr>
          <w:rFonts w:ascii="Times New Roman" w:hAnsi="Times New Roman"/>
          <w:sz w:val="24"/>
          <w:szCs w:val="24"/>
        </w:rPr>
      </w:pPr>
      <w:r w:rsidRPr="00D22FD8">
        <w:rPr>
          <w:rFonts w:ascii="Times New Roman" w:hAnsi="Times New Roman"/>
          <w:sz w:val="24"/>
          <w:szCs w:val="24"/>
        </w:rPr>
        <w:t>O atraso na criação do subsistema de ensino superior, apesar das exigências da população e de muitas promessas políticas feitas ao longo dos anos, deveu-se não somente ao atraso que a educação registava como</w:t>
      </w:r>
      <w:r>
        <w:rPr>
          <w:rFonts w:ascii="Times New Roman" w:hAnsi="Times New Roman"/>
          <w:sz w:val="24"/>
          <w:szCs w:val="24"/>
        </w:rPr>
        <w:t>,</w:t>
      </w:r>
      <w:r w:rsidRPr="00D22FD8">
        <w:rPr>
          <w:rFonts w:ascii="Times New Roman" w:hAnsi="Times New Roman"/>
          <w:sz w:val="24"/>
          <w:szCs w:val="24"/>
        </w:rPr>
        <w:t xml:space="preserve"> igualmente</w:t>
      </w:r>
      <w:r>
        <w:rPr>
          <w:rFonts w:ascii="Times New Roman" w:hAnsi="Times New Roman"/>
          <w:sz w:val="24"/>
          <w:szCs w:val="24"/>
        </w:rPr>
        <w:t>,</w:t>
      </w:r>
      <w:r w:rsidRPr="00D22FD8">
        <w:rPr>
          <w:rFonts w:ascii="Times New Roman" w:hAnsi="Times New Roman"/>
          <w:sz w:val="24"/>
          <w:szCs w:val="24"/>
        </w:rPr>
        <w:t xml:space="preserve"> ao fato de Portugal se mostrar receoso com a “insurgência que daí poderia resultar, desenvolvendo uma política de manter na maior ignorância os povos africanos, não fossem eles despertar para ambições inconvenientes” (</w:t>
      </w:r>
      <w:r w:rsidR="00E21D72">
        <w:rPr>
          <w:rFonts w:ascii="Times New Roman" w:hAnsi="Times New Roman"/>
          <w:sz w:val="24"/>
          <w:szCs w:val="24"/>
        </w:rPr>
        <w:t>LARA, 1999, p.</w:t>
      </w:r>
      <w:r>
        <w:rPr>
          <w:rFonts w:ascii="Times New Roman" w:hAnsi="Times New Roman"/>
          <w:sz w:val="24"/>
          <w:szCs w:val="24"/>
        </w:rPr>
        <w:t xml:space="preserve"> </w:t>
      </w:r>
      <w:r w:rsidRPr="00D22FD8">
        <w:rPr>
          <w:rFonts w:ascii="Times New Roman" w:hAnsi="Times New Roman"/>
          <w:sz w:val="24"/>
          <w:szCs w:val="24"/>
        </w:rPr>
        <w:t>35). Assim, quando os</w:t>
      </w:r>
      <w:r>
        <w:rPr>
          <w:rFonts w:ascii="Times New Roman" w:hAnsi="Times New Roman"/>
          <w:sz w:val="24"/>
          <w:szCs w:val="24"/>
        </w:rPr>
        <w:t xml:space="preserve"> Estudos Gerais são instituídos</w:t>
      </w:r>
      <w:r w:rsidRPr="00D22FD8">
        <w:rPr>
          <w:rFonts w:ascii="Times New Roman" w:hAnsi="Times New Roman"/>
          <w:sz w:val="24"/>
          <w:szCs w:val="24"/>
        </w:rPr>
        <w:t xml:space="preserve"> e entram em funcionamento, perspetivava-se uma melhoria do nível da educação da população de Angola</w:t>
      </w:r>
      <w:r w:rsidR="005156FB" w:rsidRPr="005156FB">
        <w:rPr>
          <w:rFonts w:ascii="Times New Roman" w:hAnsi="Times New Roman"/>
          <w:color w:val="FF0000"/>
          <w:sz w:val="24"/>
          <w:szCs w:val="24"/>
        </w:rPr>
        <w:t>,</w:t>
      </w:r>
      <w:r w:rsidRPr="00D22FD8">
        <w:rPr>
          <w:rFonts w:ascii="Times New Roman" w:hAnsi="Times New Roman"/>
          <w:sz w:val="24"/>
          <w:szCs w:val="24"/>
        </w:rPr>
        <w:t xml:space="preserve"> em geral, </w:t>
      </w:r>
      <w:r w:rsidRPr="00E5596D">
        <w:rPr>
          <w:rFonts w:ascii="Times New Roman" w:hAnsi="Times New Roman"/>
          <w:sz w:val="24"/>
          <w:szCs w:val="24"/>
        </w:rPr>
        <w:t>dando possibilidade de continuidade dos estudos a parte da população que, de outra maneira não conseguiria.</w:t>
      </w:r>
    </w:p>
    <w:p w:rsidR="00403CF3" w:rsidRPr="00D22FD8" w:rsidRDefault="00403CF3" w:rsidP="00CA148F">
      <w:pPr>
        <w:spacing w:after="0" w:line="360" w:lineRule="auto"/>
        <w:ind w:firstLine="900"/>
        <w:jc w:val="both"/>
        <w:rPr>
          <w:rFonts w:ascii="Times New Roman" w:hAnsi="Times New Roman"/>
          <w:sz w:val="24"/>
          <w:szCs w:val="24"/>
        </w:rPr>
      </w:pPr>
      <w:r w:rsidRPr="00D22FD8">
        <w:rPr>
          <w:rFonts w:ascii="Times New Roman" w:hAnsi="Times New Roman"/>
          <w:sz w:val="24"/>
          <w:szCs w:val="24"/>
        </w:rPr>
        <w:t xml:space="preserve">A criação dos Estudos Gerais em Angola, </w:t>
      </w:r>
      <w:r>
        <w:rPr>
          <w:rFonts w:ascii="Times New Roman" w:hAnsi="Times New Roman"/>
          <w:sz w:val="24"/>
          <w:szCs w:val="24"/>
        </w:rPr>
        <w:t>frequentados</w:t>
      </w:r>
      <w:r w:rsidRPr="00D22FD8">
        <w:rPr>
          <w:rFonts w:ascii="Times New Roman" w:hAnsi="Times New Roman"/>
          <w:sz w:val="24"/>
          <w:szCs w:val="24"/>
        </w:rPr>
        <w:t xml:space="preserve"> maioritariamente por brancos, não </w:t>
      </w:r>
      <w:r w:rsidR="00BD6C3A" w:rsidRPr="00D22FD8">
        <w:rPr>
          <w:rFonts w:ascii="Times New Roman" w:hAnsi="Times New Roman"/>
          <w:sz w:val="24"/>
          <w:szCs w:val="24"/>
        </w:rPr>
        <w:t>fez, no entanto,</w:t>
      </w:r>
      <w:r w:rsidRPr="00D22FD8">
        <w:rPr>
          <w:rFonts w:ascii="Times New Roman" w:hAnsi="Times New Roman"/>
          <w:sz w:val="24"/>
          <w:szCs w:val="24"/>
        </w:rPr>
        <w:t xml:space="preserve"> diminuir a saída de estudantes deste território ultramarino para a metrópole.</w:t>
      </w:r>
    </w:p>
    <w:p w:rsidR="00403CF3" w:rsidRPr="00D22FD8" w:rsidRDefault="00403CF3" w:rsidP="00403CF3">
      <w:pPr>
        <w:spacing w:after="0" w:line="360" w:lineRule="auto"/>
        <w:ind w:firstLine="540"/>
        <w:jc w:val="both"/>
        <w:rPr>
          <w:rFonts w:ascii="Times New Roman" w:hAnsi="Times New Roman"/>
          <w:sz w:val="24"/>
          <w:szCs w:val="24"/>
        </w:rPr>
      </w:pPr>
    </w:p>
    <w:p w:rsidR="00403CF3" w:rsidRDefault="00403CF3" w:rsidP="00403CF3">
      <w:r>
        <w:br w:type="page"/>
      </w:r>
    </w:p>
    <w:p w:rsidR="00403CF3" w:rsidRDefault="00403CF3" w:rsidP="00403CF3">
      <w:pPr>
        <w:pStyle w:val="Legenda"/>
        <w:keepNext/>
      </w:pPr>
    </w:p>
    <w:tbl>
      <w:tblPr>
        <w:tblW w:w="0" w:type="auto"/>
        <w:tblLayout w:type="fixed"/>
        <w:tblLook w:val="04A0" w:firstRow="1" w:lastRow="0" w:firstColumn="1" w:lastColumn="0" w:noHBand="0" w:noVBand="1"/>
      </w:tblPr>
      <w:tblGrid>
        <w:gridCol w:w="4090"/>
        <w:gridCol w:w="5196"/>
      </w:tblGrid>
      <w:tr w:rsidR="00403CF3" w:rsidRPr="00D22FD8" w:rsidTr="00403CF3">
        <w:tc>
          <w:tcPr>
            <w:tcW w:w="4090" w:type="dxa"/>
          </w:tcPr>
          <w:p w:rsidR="00403CF3" w:rsidRPr="00D22FD8" w:rsidRDefault="00A72425" w:rsidP="00403CF3">
            <w:pPr>
              <w:pStyle w:val="Quadros"/>
            </w:pPr>
            <w:bookmarkStart w:id="54" w:name="_Toc321218232"/>
            <w:r>
              <w:t xml:space="preserve">Quadro </w:t>
            </w:r>
            <w:r w:rsidR="00403CF3">
              <w:t xml:space="preserve">1. </w:t>
            </w:r>
            <w:r>
              <w:t>Nº de estudantes u</w:t>
            </w:r>
            <w:r w:rsidR="00403CF3" w:rsidRPr="007850BF">
              <w:t>niversitários in</w:t>
            </w:r>
            <w:r>
              <w:t>scritos nas universidades portuguesas e n</w:t>
            </w:r>
            <w:r w:rsidR="00403CF3" w:rsidRPr="007850BF">
              <w:t>º de estudantes angolanos inscritos nos Estudos Gerais</w:t>
            </w:r>
            <w:bookmarkEnd w:id="54"/>
          </w:p>
          <w:tbl>
            <w:tblPr>
              <w:tblW w:w="3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299"/>
              <w:gridCol w:w="1481"/>
            </w:tblGrid>
            <w:tr w:rsidR="00403CF3" w:rsidRPr="006E5DF4" w:rsidTr="00403CF3">
              <w:trPr>
                <w:jc w:val="center"/>
              </w:trPr>
              <w:tc>
                <w:tcPr>
                  <w:tcW w:w="1129" w:type="dxa"/>
                </w:tcPr>
                <w:p w:rsidR="00403CF3" w:rsidRPr="006E5DF4" w:rsidRDefault="00403CF3" w:rsidP="00403CF3">
                  <w:pPr>
                    <w:pStyle w:val="Quadros"/>
                    <w:rPr>
                      <w:b/>
                    </w:rPr>
                  </w:pPr>
                  <w:r w:rsidRPr="006E5DF4">
                    <w:rPr>
                      <w:b/>
                    </w:rPr>
                    <w:t>Anos</w:t>
                  </w:r>
                </w:p>
              </w:tc>
              <w:tc>
                <w:tcPr>
                  <w:tcW w:w="1299" w:type="dxa"/>
                </w:tcPr>
                <w:p w:rsidR="00403CF3" w:rsidRPr="006E5DF4" w:rsidRDefault="00403CF3" w:rsidP="00403CF3">
                  <w:pPr>
                    <w:pStyle w:val="Quadros"/>
                    <w:rPr>
                      <w:b/>
                    </w:rPr>
                  </w:pPr>
                  <w:r w:rsidRPr="006E5DF4">
                    <w:rPr>
                      <w:b/>
                    </w:rPr>
                    <w:t>Estudantes Angolanos em Universidades Portuguesas</w:t>
                  </w:r>
                </w:p>
              </w:tc>
              <w:tc>
                <w:tcPr>
                  <w:tcW w:w="1481" w:type="dxa"/>
                </w:tcPr>
                <w:p w:rsidR="00403CF3" w:rsidRPr="006E5DF4" w:rsidRDefault="00403CF3" w:rsidP="00403CF3">
                  <w:pPr>
                    <w:pStyle w:val="Quadros"/>
                    <w:rPr>
                      <w:b/>
                    </w:rPr>
                  </w:pPr>
                  <w:r w:rsidRPr="006E5DF4">
                    <w:rPr>
                      <w:b/>
                    </w:rPr>
                    <w:t>Estudantes Angolanos matriculados nos Estudos Gerais em Angola</w:t>
                  </w:r>
                </w:p>
              </w:tc>
            </w:tr>
            <w:tr w:rsidR="00403CF3" w:rsidRPr="006E5DF4" w:rsidTr="00403CF3">
              <w:trPr>
                <w:jc w:val="center"/>
              </w:trPr>
              <w:tc>
                <w:tcPr>
                  <w:tcW w:w="1129" w:type="dxa"/>
                </w:tcPr>
                <w:p w:rsidR="00403CF3" w:rsidRPr="006E5DF4" w:rsidRDefault="00403CF3" w:rsidP="00403CF3">
                  <w:pPr>
                    <w:pStyle w:val="Quadros"/>
                  </w:pPr>
                  <w:r w:rsidRPr="006E5DF4">
                    <w:t>1961/62</w:t>
                  </w:r>
                </w:p>
              </w:tc>
              <w:tc>
                <w:tcPr>
                  <w:tcW w:w="1299" w:type="dxa"/>
                </w:tcPr>
                <w:p w:rsidR="00403CF3" w:rsidRPr="006E5DF4" w:rsidRDefault="00403CF3" w:rsidP="00403CF3">
                  <w:pPr>
                    <w:pStyle w:val="Quadros"/>
                    <w:jc w:val="right"/>
                  </w:pPr>
                  <w:r w:rsidRPr="006E5DF4">
                    <w:t>855</w:t>
                  </w:r>
                </w:p>
              </w:tc>
              <w:tc>
                <w:tcPr>
                  <w:tcW w:w="1481" w:type="dxa"/>
                </w:tcPr>
                <w:p w:rsidR="00403CF3" w:rsidRPr="006E5DF4" w:rsidRDefault="00403CF3" w:rsidP="00403CF3">
                  <w:pPr>
                    <w:pStyle w:val="Quadros"/>
                    <w:jc w:val="right"/>
                  </w:pPr>
                </w:p>
              </w:tc>
            </w:tr>
            <w:tr w:rsidR="00403CF3" w:rsidRPr="006E5DF4" w:rsidTr="00403CF3">
              <w:trPr>
                <w:jc w:val="center"/>
              </w:trPr>
              <w:tc>
                <w:tcPr>
                  <w:tcW w:w="1129" w:type="dxa"/>
                </w:tcPr>
                <w:p w:rsidR="00403CF3" w:rsidRPr="006E5DF4" w:rsidRDefault="00403CF3" w:rsidP="00403CF3">
                  <w:pPr>
                    <w:pStyle w:val="Quadros"/>
                  </w:pPr>
                  <w:r w:rsidRPr="006E5DF4">
                    <w:t>1962/63</w:t>
                  </w:r>
                </w:p>
              </w:tc>
              <w:tc>
                <w:tcPr>
                  <w:tcW w:w="1299" w:type="dxa"/>
                </w:tcPr>
                <w:p w:rsidR="00403CF3" w:rsidRPr="006E5DF4" w:rsidRDefault="00403CF3" w:rsidP="00403CF3">
                  <w:pPr>
                    <w:pStyle w:val="Quadros"/>
                    <w:jc w:val="right"/>
                  </w:pPr>
                  <w:r w:rsidRPr="006E5DF4">
                    <w:t>896</w:t>
                  </w:r>
                </w:p>
              </w:tc>
              <w:tc>
                <w:tcPr>
                  <w:tcW w:w="1481" w:type="dxa"/>
                </w:tcPr>
                <w:p w:rsidR="00403CF3" w:rsidRPr="006E5DF4" w:rsidRDefault="00403CF3" w:rsidP="00403CF3">
                  <w:pPr>
                    <w:pStyle w:val="Quadros"/>
                    <w:jc w:val="right"/>
                  </w:pPr>
                </w:p>
              </w:tc>
            </w:tr>
            <w:tr w:rsidR="00403CF3" w:rsidRPr="006E5DF4" w:rsidTr="00403CF3">
              <w:trPr>
                <w:jc w:val="center"/>
              </w:trPr>
              <w:tc>
                <w:tcPr>
                  <w:tcW w:w="1129" w:type="dxa"/>
                </w:tcPr>
                <w:p w:rsidR="00403CF3" w:rsidRPr="006E5DF4" w:rsidRDefault="00403CF3" w:rsidP="00403CF3">
                  <w:pPr>
                    <w:pStyle w:val="Quadros"/>
                  </w:pPr>
                  <w:r w:rsidRPr="006E5DF4">
                    <w:t>1963/64</w:t>
                  </w:r>
                </w:p>
              </w:tc>
              <w:tc>
                <w:tcPr>
                  <w:tcW w:w="1299" w:type="dxa"/>
                </w:tcPr>
                <w:p w:rsidR="00403CF3" w:rsidRPr="006E5DF4" w:rsidRDefault="00403CF3" w:rsidP="00403CF3">
                  <w:pPr>
                    <w:pStyle w:val="Quadros"/>
                    <w:jc w:val="right"/>
                  </w:pPr>
                  <w:r w:rsidRPr="006E5DF4">
                    <w:t>839</w:t>
                  </w:r>
                </w:p>
              </w:tc>
              <w:tc>
                <w:tcPr>
                  <w:tcW w:w="1481" w:type="dxa"/>
                </w:tcPr>
                <w:p w:rsidR="00403CF3" w:rsidRPr="006E5DF4" w:rsidRDefault="00403CF3" w:rsidP="00403CF3">
                  <w:pPr>
                    <w:pStyle w:val="Quadros"/>
                    <w:jc w:val="right"/>
                  </w:pPr>
                  <w:r w:rsidRPr="006E5DF4">
                    <w:t>286</w:t>
                  </w:r>
                </w:p>
              </w:tc>
            </w:tr>
            <w:tr w:rsidR="00403CF3" w:rsidRPr="006E5DF4" w:rsidTr="00403CF3">
              <w:trPr>
                <w:jc w:val="center"/>
              </w:trPr>
              <w:tc>
                <w:tcPr>
                  <w:tcW w:w="1129" w:type="dxa"/>
                </w:tcPr>
                <w:p w:rsidR="00403CF3" w:rsidRPr="006E5DF4" w:rsidRDefault="00403CF3" w:rsidP="00403CF3">
                  <w:pPr>
                    <w:pStyle w:val="Quadros"/>
                  </w:pPr>
                  <w:r w:rsidRPr="006E5DF4">
                    <w:t>1964/65</w:t>
                  </w:r>
                </w:p>
              </w:tc>
              <w:tc>
                <w:tcPr>
                  <w:tcW w:w="1299" w:type="dxa"/>
                </w:tcPr>
                <w:p w:rsidR="00403CF3" w:rsidRPr="006E5DF4" w:rsidRDefault="00403CF3" w:rsidP="00403CF3">
                  <w:pPr>
                    <w:pStyle w:val="Quadros"/>
                    <w:jc w:val="right"/>
                  </w:pPr>
                  <w:r w:rsidRPr="006E5DF4">
                    <w:t>951</w:t>
                  </w:r>
                </w:p>
              </w:tc>
              <w:tc>
                <w:tcPr>
                  <w:tcW w:w="1481" w:type="dxa"/>
                </w:tcPr>
                <w:p w:rsidR="00403CF3" w:rsidRPr="006E5DF4" w:rsidRDefault="00403CF3" w:rsidP="00403CF3">
                  <w:pPr>
                    <w:pStyle w:val="Quadros"/>
                    <w:jc w:val="right"/>
                  </w:pPr>
                  <w:r w:rsidRPr="006E5DF4">
                    <w:t>418</w:t>
                  </w:r>
                </w:p>
              </w:tc>
            </w:tr>
            <w:tr w:rsidR="00403CF3" w:rsidRPr="006E5DF4" w:rsidTr="00403CF3">
              <w:trPr>
                <w:jc w:val="center"/>
              </w:trPr>
              <w:tc>
                <w:tcPr>
                  <w:tcW w:w="1129" w:type="dxa"/>
                </w:tcPr>
                <w:p w:rsidR="00403CF3" w:rsidRPr="006E5DF4" w:rsidRDefault="00403CF3" w:rsidP="00403CF3">
                  <w:pPr>
                    <w:pStyle w:val="Quadros"/>
                  </w:pPr>
                  <w:r w:rsidRPr="006E5DF4">
                    <w:t>1965/66</w:t>
                  </w:r>
                </w:p>
              </w:tc>
              <w:tc>
                <w:tcPr>
                  <w:tcW w:w="1299" w:type="dxa"/>
                </w:tcPr>
                <w:p w:rsidR="00403CF3" w:rsidRPr="006E5DF4" w:rsidRDefault="00403CF3" w:rsidP="00403CF3">
                  <w:pPr>
                    <w:pStyle w:val="Quadros"/>
                    <w:jc w:val="right"/>
                  </w:pPr>
                  <w:r w:rsidRPr="006E5DF4">
                    <w:t>1035</w:t>
                  </w:r>
                </w:p>
              </w:tc>
              <w:tc>
                <w:tcPr>
                  <w:tcW w:w="1481" w:type="dxa"/>
                </w:tcPr>
                <w:p w:rsidR="00403CF3" w:rsidRPr="006E5DF4" w:rsidRDefault="00403CF3" w:rsidP="00403CF3">
                  <w:pPr>
                    <w:pStyle w:val="Quadros"/>
                    <w:jc w:val="right"/>
                  </w:pPr>
                  <w:r w:rsidRPr="006E5DF4">
                    <w:t>477</w:t>
                  </w:r>
                </w:p>
              </w:tc>
            </w:tr>
            <w:tr w:rsidR="00403CF3" w:rsidRPr="006E5DF4" w:rsidTr="00403CF3">
              <w:trPr>
                <w:jc w:val="center"/>
              </w:trPr>
              <w:tc>
                <w:tcPr>
                  <w:tcW w:w="1129" w:type="dxa"/>
                </w:tcPr>
                <w:p w:rsidR="00403CF3" w:rsidRPr="006E5DF4" w:rsidRDefault="00403CF3" w:rsidP="00403CF3">
                  <w:pPr>
                    <w:pStyle w:val="Quadros"/>
                  </w:pPr>
                  <w:r w:rsidRPr="006E5DF4">
                    <w:t>1966/67</w:t>
                  </w:r>
                </w:p>
              </w:tc>
              <w:tc>
                <w:tcPr>
                  <w:tcW w:w="1299" w:type="dxa"/>
                </w:tcPr>
                <w:p w:rsidR="00403CF3" w:rsidRPr="006E5DF4" w:rsidRDefault="00403CF3" w:rsidP="00403CF3">
                  <w:pPr>
                    <w:pStyle w:val="Quadros"/>
                    <w:jc w:val="right"/>
                  </w:pPr>
                  <w:r w:rsidRPr="006E5DF4">
                    <w:t>1065</w:t>
                  </w:r>
                </w:p>
              </w:tc>
              <w:tc>
                <w:tcPr>
                  <w:tcW w:w="1481" w:type="dxa"/>
                </w:tcPr>
                <w:p w:rsidR="00403CF3" w:rsidRPr="006E5DF4" w:rsidRDefault="00403CF3" w:rsidP="00403CF3">
                  <w:pPr>
                    <w:pStyle w:val="Quadros"/>
                    <w:jc w:val="right"/>
                  </w:pPr>
                  <w:r w:rsidRPr="006E5DF4">
                    <w:t>607</w:t>
                  </w:r>
                </w:p>
              </w:tc>
            </w:tr>
            <w:tr w:rsidR="00403CF3" w:rsidRPr="006E5DF4" w:rsidTr="00403CF3">
              <w:trPr>
                <w:jc w:val="center"/>
              </w:trPr>
              <w:tc>
                <w:tcPr>
                  <w:tcW w:w="1129" w:type="dxa"/>
                </w:tcPr>
                <w:p w:rsidR="00403CF3" w:rsidRPr="006E5DF4" w:rsidRDefault="00403CF3" w:rsidP="00403CF3">
                  <w:pPr>
                    <w:pStyle w:val="Quadros"/>
                  </w:pPr>
                  <w:r w:rsidRPr="006E5DF4">
                    <w:t>1967/68</w:t>
                  </w:r>
                </w:p>
              </w:tc>
              <w:tc>
                <w:tcPr>
                  <w:tcW w:w="1299" w:type="dxa"/>
                </w:tcPr>
                <w:p w:rsidR="00403CF3" w:rsidRPr="006E5DF4" w:rsidRDefault="00403CF3" w:rsidP="00403CF3">
                  <w:pPr>
                    <w:pStyle w:val="Quadros"/>
                    <w:jc w:val="right"/>
                  </w:pPr>
                  <w:r w:rsidRPr="006E5DF4">
                    <w:t>1200</w:t>
                  </w:r>
                </w:p>
              </w:tc>
              <w:tc>
                <w:tcPr>
                  <w:tcW w:w="1481" w:type="dxa"/>
                </w:tcPr>
                <w:p w:rsidR="00403CF3" w:rsidRPr="006E5DF4" w:rsidRDefault="00403CF3" w:rsidP="00403CF3">
                  <w:pPr>
                    <w:pStyle w:val="Quadros"/>
                    <w:jc w:val="right"/>
                  </w:pPr>
                  <w:r w:rsidRPr="006E5DF4">
                    <w:t>827</w:t>
                  </w:r>
                </w:p>
              </w:tc>
            </w:tr>
            <w:tr w:rsidR="00403CF3" w:rsidRPr="006E5DF4" w:rsidTr="00403CF3">
              <w:trPr>
                <w:jc w:val="center"/>
              </w:trPr>
              <w:tc>
                <w:tcPr>
                  <w:tcW w:w="1129" w:type="dxa"/>
                </w:tcPr>
                <w:p w:rsidR="00403CF3" w:rsidRPr="006E5DF4" w:rsidRDefault="00403CF3" w:rsidP="00403CF3">
                  <w:pPr>
                    <w:pStyle w:val="Quadros"/>
                  </w:pPr>
                  <w:r w:rsidRPr="006E5DF4">
                    <w:t>1968/69</w:t>
                  </w:r>
                </w:p>
              </w:tc>
              <w:tc>
                <w:tcPr>
                  <w:tcW w:w="1299" w:type="dxa"/>
                </w:tcPr>
                <w:p w:rsidR="00403CF3" w:rsidRPr="006E5DF4" w:rsidRDefault="00403CF3" w:rsidP="00403CF3">
                  <w:pPr>
                    <w:pStyle w:val="Quadros"/>
                    <w:jc w:val="right"/>
                  </w:pPr>
                  <w:r w:rsidRPr="006E5DF4">
                    <w:t>1172</w:t>
                  </w:r>
                </w:p>
              </w:tc>
              <w:tc>
                <w:tcPr>
                  <w:tcW w:w="1481" w:type="dxa"/>
                </w:tcPr>
                <w:p w:rsidR="00403CF3" w:rsidRPr="006E5DF4" w:rsidRDefault="00403CF3" w:rsidP="00403CF3">
                  <w:pPr>
                    <w:pStyle w:val="Quadros"/>
                    <w:jc w:val="right"/>
                  </w:pPr>
                  <w:r w:rsidRPr="006E5DF4">
                    <w:t>1074</w:t>
                  </w:r>
                </w:p>
              </w:tc>
            </w:tr>
            <w:tr w:rsidR="00403CF3" w:rsidRPr="006E5DF4" w:rsidTr="00403CF3">
              <w:trPr>
                <w:jc w:val="center"/>
              </w:trPr>
              <w:tc>
                <w:tcPr>
                  <w:tcW w:w="1129" w:type="dxa"/>
                </w:tcPr>
                <w:p w:rsidR="00403CF3" w:rsidRPr="006E5DF4" w:rsidRDefault="00403CF3" w:rsidP="00403CF3">
                  <w:pPr>
                    <w:pStyle w:val="Quadros"/>
                  </w:pPr>
                  <w:r w:rsidRPr="006E5DF4">
                    <w:t>1969/70</w:t>
                  </w:r>
                </w:p>
              </w:tc>
              <w:tc>
                <w:tcPr>
                  <w:tcW w:w="1299" w:type="dxa"/>
                </w:tcPr>
                <w:p w:rsidR="00403CF3" w:rsidRPr="006E5DF4" w:rsidRDefault="00403CF3" w:rsidP="00403CF3">
                  <w:pPr>
                    <w:pStyle w:val="Quadros"/>
                    <w:jc w:val="right"/>
                  </w:pPr>
                  <w:r w:rsidRPr="006E5DF4">
                    <w:t>1305</w:t>
                  </w:r>
                </w:p>
              </w:tc>
              <w:tc>
                <w:tcPr>
                  <w:tcW w:w="1481" w:type="dxa"/>
                </w:tcPr>
                <w:p w:rsidR="00403CF3" w:rsidRPr="006E5DF4" w:rsidRDefault="00403CF3" w:rsidP="00403CF3">
                  <w:pPr>
                    <w:pStyle w:val="Quadros"/>
                    <w:jc w:val="right"/>
                  </w:pPr>
                  <w:r w:rsidRPr="006E5DF4">
                    <w:t>1570</w:t>
                  </w:r>
                </w:p>
              </w:tc>
            </w:tr>
            <w:tr w:rsidR="00403CF3" w:rsidRPr="006E5DF4" w:rsidTr="00403CF3">
              <w:trPr>
                <w:jc w:val="center"/>
              </w:trPr>
              <w:tc>
                <w:tcPr>
                  <w:tcW w:w="1129" w:type="dxa"/>
                </w:tcPr>
                <w:p w:rsidR="00403CF3" w:rsidRPr="006E5DF4" w:rsidRDefault="00403CF3" w:rsidP="00403CF3">
                  <w:pPr>
                    <w:pStyle w:val="Quadros"/>
                  </w:pPr>
                  <w:r w:rsidRPr="006E5DF4">
                    <w:t>1970/71</w:t>
                  </w:r>
                </w:p>
              </w:tc>
              <w:tc>
                <w:tcPr>
                  <w:tcW w:w="1299" w:type="dxa"/>
                </w:tcPr>
                <w:p w:rsidR="00403CF3" w:rsidRPr="006E5DF4" w:rsidRDefault="00403CF3" w:rsidP="00403CF3">
                  <w:pPr>
                    <w:pStyle w:val="Quadros"/>
                    <w:jc w:val="right"/>
                  </w:pPr>
                  <w:r w:rsidRPr="006E5DF4">
                    <w:t>1297</w:t>
                  </w:r>
                </w:p>
              </w:tc>
              <w:tc>
                <w:tcPr>
                  <w:tcW w:w="1481" w:type="dxa"/>
                </w:tcPr>
                <w:p w:rsidR="00403CF3" w:rsidRPr="006E5DF4" w:rsidRDefault="00403CF3" w:rsidP="00403CF3">
                  <w:pPr>
                    <w:pStyle w:val="Quadros"/>
                    <w:jc w:val="right"/>
                  </w:pPr>
                  <w:r w:rsidRPr="006E5DF4">
                    <w:t>2088</w:t>
                  </w:r>
                </w:p>
              </w:tc>
            </w:tr>
            <w:tr w:rsidR="00403CF3" w:rsidRPr="006E5DF4" w:rsidTr="00403CF3">
              <w:trPr>
                <w:jc w:val="center"/>
              </w:trPr>
              <w:tc>
                <w:tcPr>
                  <w:tcW w:w="1129" w:type="dxa"/>
                </w:tcPr>
                <w:p w:rsidR="00403CF3" w:rsidRPr="006E5DF4" w:rsidRDefault="00403CF3" w:rsidP="00403CF3">
                  <w:pPr>
                    <w:pStyle w:val="Quadros"/>
                  </w:pPr>
                  <w:r w:rsidRPr="006E5DF4">
                    <w:t>1971/72</w:t>
                  </w:r>
                </w:p>
              </w:tc>
              <w:tc>
                <w:tcPr>
                  <w:tcW w:w="1299" w:type="dxa"/>
                </w:tcPr>
                <w:p w:rsidR="00403CF3" w:rsidRPr="006E5DF4" w:rsidRDefault="00403CF3" w:rsidP="00403CF3">
                  <w:pPr>
                    <w:pStyle w:val="Quadros"/>
                    <w:jc w:val="right"/>
                  </w:pPr>
                  <w:r w:rsidRPr="006E5DF4">
                    <w:t>1345</w:t>
                  </w:r>
                </w:p>
              </w:tc>
              <w:tc>
                <w:tcPr>
                  <w:tcW w:w="1481" w:type="dxa"/>
                </w:tcPr>
                <w:p w:rsidR="00403CF3" w:rsidRPr="006E5DF4" w:rsidRDefault="00403CF3" w:rsidP="00403CF3">
                  <w:pPr>
                    <w:pStyle w:val="Quadros"/>
                    <w:jc w:val="right"/>
                  </w:pPr>
                  <w:r w:rsidRPr="006E5DF4">
                    <w:t>2435</w:t>
                  </w:r>
                </w:p>
              </w:tc>
            </w:tr>
            <w:tr w:rsidR="00403CF3" w:rsidRPr="006E5DF4" w:rsidTr="00403CF3">
              <w:trPr>
                <w:jc w:val="center"/>
              </w:trPr>
              <w:tc>
                <w:tcPr>
                  <w:tcW w:w="1129" w:type="dxa"/>
                </w:tcPr>
                <w:p w:rsidR="00403CF3" w:rsidRPr="006E5DF4" w:rsidRDefault="00403CF3" w:rsidP="00403CF3">
                  <w:pPr>
                    <w:pStyle w:val="Quadros"/>
                  </w:pPr>
                  <w:r w:rsidRPr="006E5DF4">
                    <w:t>1972/73</w:t>
                  </w:r>
                </w:p>
              </w:tc>
              <w:tc>
                <w:tcPr>
                  <w:tcW w:w="1299" w:type="dxa"/>
                </w:tcPr>
                <w:p w:rsidR="00403CF3" w:rsidRPr="006E5DF4" w:rsidRDefault="00403CF3" w:rsidP="00403CF3">
                  <w:pPr>
                    <w:pStyle w:val="Quadros"/>
                    <w:jc w:val="right"/>
                  </w:pPr>
                  <w:r w:rsidRPr="006E5DF4">
                    <w:t>1337</w:t>
                  </w:r>
                </w:p>
              </w:tc>
              <w:tc>
                <w:tcPr>
                  <w:tcW w:w="1481" w:type="dxa"/>
                </w:tcPr>
                <w:p w:rsidR="00403CF3" w:rsidRPr="006E5DF4" w:rsidRDefault="00403CF3" w:rsidP="00403CF3">
                  <w:pPr>
                    <w:pStyle w:val="Quadros"/>
                    <w:jc w:val="right"/>
                  </w:pPr>
                </w:p>
              </w:tc>
            </w:tr>
          </w:tbl>
          <w:p w:rsidR="00403CF3" w:rsidRPr="00A72425" w:rsidRDefault="00403CF3" w:rsidP="00A72425">
            <w:pPr>
              <w:pStyle w:val="Quadros"/>
            </w:pPr>
            <w:r w:rsidRPr="00A72425">
              <w:t xml:space="preserve">Fonte: </w:t>
            </w:r>
            <w:r w:rsidR="00A36614" w:rsidRPr="00A72425">
              <w:t xml:space="preserve">baseado em </w:t>
            </w:r>
            <w:r w:rsidRPr="00A72425">
              <w:t>Anuário Estatístico do Ultramar e Anuário Estatístico da Província de Angola</w:t>
            </w:r>
          </w:p>
          <w:p w:rsidR="00A36614" w:rsidRPr="00D22FD8" w:rsidRDefault="00A36614" w:rsidP="00A72425">
            <w:pPr>
              <w:pStyle w:val="Quadros"/>
            </w:pPr>
            <w:r w:rsidRPr="00A72425">
              <w:t>Elaboração da autora</w:t>
            </w:r>
          </w:p>
        </w:tc>
        <w:tc>
          <w:tcPr>
            <w:tcW w:w="5196" w:type="dxa"/>
          </w:tcPr>
          <w:p w:rsidR="00403CF3" w:rsidRPr="00D22FD8" w:rsidRDefault="00403CF3" w:rsidP="00403CF3">
            <w:pPr>
              <w:pStyle w:val="legendastese"/>
              <w:jc w:val="left"/>
            </w:pPr>
            <w:bookmarkStart w:id="55" w:name="_Toc321218220"/>
            <w:r>
              <w:t>Figura</w:t>
            </w:r>
            <w:r w:rsidR="00A72425">
              <w:t xml:space="preserve"> </w:t>
            </w:r>
            <w:r>
              <w:t xml:space="preserve">1. </w:t>
            </w:r>
            <w:r w:rsidR="00A72425">
              <w:t>Nº de estudantes universitários inscritos nas universidades p</w:t>
            </w:r>
            <w:r w:rsidRPr="00EA5E37">
              <w:t>ortuguesas e nº de estudantes angolanos inscritos nos Estudos Gerais</w:t>
            </w:r>
            <w:bookmarkEnd w:id="55"/>
          </w:p>
          <w:p w:rsidR="00403CF3" w:rsidRPr="00D22FD8" w:rsidRDefault="00403CF3" w:rsidP="00403CF3">
            <w:pPr>
              <w:pStyle w:val="Quadros"/>
              <w:jc w:val="center"/>
              <w:rPr>
                <w:noProof/>
                <w:lang w:eastAsia="pt-PT"/>
              </w:rPr>
            </w:pPr>
            <w:r w:rsidRPr="00D22FD8">
              <w:rPr>
                <w:noProof/>
                <w:lang w:val="pt-AO" w:eastAsia="pt-AO"/>
              </w:rPr>
              <w:drawing>
                <wp:inline distT="0" distB="0" distL="0" distR="0" wp14:anchorId="40643D97" wp14:editId="609B9CCD">
                  <wp:extent cx="3133725" cy="2524125"/>
                  <wp:effectExtent l="19050" t="0" r="9525" b="0"/>
                  <wp:docPr id="2" name="Objec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3CF3" w:rsidRPr="00D22FD8" w:rsidRDefault="00403CF3" w:rsidP="00403CF3">
            <w:pPr>
              <w:pStyle w:val="Quadros"/>
              <w:jc w:val="center"/>
              <w:rPr>
                <w:b/>
              </w:rPr>
            </w:pPr>
          </w:p>
          <w:p w:rsidR="00403CF3" w:rsidRPr="00A72425" w:rsidRDefault="00403CF3" w:rsidP="00A72425">
            <w:pPr>
              <w:pStyle w:val="Quadros"/>
            </w:pPr>
            <w:r w:rsidRPr="00A72425">
              <w:t>Fonte</w:t>
            </w:r>
            <w:r w:rsidRPr="00A72425">
              <w:rPr>
                <w:b/>
              </w:rPr>
              <w:t>:</w:t>
            </w:r>
            <w:r w:rsidRPr="00A72425">
              <w:t xml:space="preserve"> </w:t>
            </w:r>
            <w:r w:rsidR="00A36614" w:rsidRPr="00A72425">
              <w:t xml:space="preserve">baseado em </w:t>
            </w:r>
            <w:r w:rsidRPr="00A72425">
              <w:t>Anuário Estatístico do Ultramar e Anuário Estatístico da Província de Angola</w:t>
            </w:r>
          </w:p>
          <w:p w:rsidR="00A36614" w:rsidRPr="00A72425" w:rsidRDefault="00A36614" w:rsidP="00A72425">
            <w:pPr>
              <w:pStyle w:val="Quadros"/>
            </w:pPr>
            <w:r w:rsidRPr="00A72425">
              <w:t>Elaboração da autora</w:t>
            </w:r>
          </w:p>
          <w:p w:rsidR="00403CF3" w:rsidRPr="00D22FD8" w:rsidRDefault="00403CF3" w:rsidP="00403CF3">
            <w:pPr>
              <w:keepNext/>
              <w:spacing w:after="0" w:line="360" w:lineRule="auto"/>
              <w:jc w:val="both"/>
              <w:rPr>
                <w:rFonts w:ascii="Times New Roman" w:hAnsi="Times New Roman"/>
                <w:sz w:val="24"/>
                <w:szCs w:val="24"/>
              </w:rPr>
            </w:pPr>
          </w:p>
        </w:tc>
      </w:tr>
    </w:tbl>
    <w:p w:rsidR="00403CF3" w:rsidRPr="00AF33F9" w:rsidRDefault="00403CF3" w:rsidP="00403CF3">
      <w:pPr>
        <w:pStyle w:val="Legenda"/>
        <w:rPr>
          <w:rFonts w:ascii="Times New Roman" w:hAnsi="Times New Roman"/>
          <w:sz w:val="20"/>
          <w:szCs w:val="20"/>
        </w:rPr>
      </w:pPr>
    </w:p>
    <w:p w:rsidR="00B65464" w:rsidRDefault="00403CF3" w:rsidP="00CA148F">
      <w:pPr>
        <w:spacing w:after="0" w:line="360" w:lineRule="auto"/>
        <w:ind w:firstLine="900"/>
        <w:jc w:val="both"/>
        <w:rPr>
          <w:rFonts w:ascii="Times New Roman" w:hAnsi="Times New Roman"/>
          <w:sz w:val="24"/>
          <w:szCs w:val="24"/>
        </w:rPr>
        <w:sectPr w:rsidR="00B65464" w:rsidSect="007940C9">
          <w:footerReference w:type="default" r:id="rId9"/>
          <w:footnotePr>
            <w:pos w:val="beneathText"/>
          </w:footnotePr>
          <w:pgSz w:w="11906" w:h="16838"/>
          <w:pgMar w:top="1417" w:right="1701" w:bottom="1417" w:left="1701" w:header="708" w:footer="708" w:gutter="0"/>
          <w:cols w:space="708"/>
          <w:docGrid w:linePitch="360"/>
        </w:sectPr>
      </w:pPr>
      <w:r w:rsidRPr="00D22FD8">
        <w:rPr>
          <w:rFonts w:ascii="Times New Roman" w:hAnsi="Times New Roman"/>
          <w:sz w:val="24"/>
          <w:szCs w:val="24"/>
        </w:rPr>
        <w:t>No ano letivo de 1963/64, apenas 286 alunos encontravam-se matriculados no ensino superior naquela instituição, no entanto</w:t>
      </w:r>
      <w:r w:rsidR="005156FB" w:rsidRPr="005156FB">
        <w:rPr>
          <w:rFonts w:ascii="Times New Roman" w:hAnsi="Times New Roman"/>
          <w:color w:val="FF0000"/>
          <w:sz w:val="24"/>
          <w:szCs w:val="24"/>
        </w:rPr>
        <w:t>,</w:t>
      </w:r>
      <w:r w:rsidRPr="00D22FD8">
        <w:rPr>
          <w:rFonts w:ascii="Times New Roman" w:hAnsi="Times New Roman"/>
          <w:sz w:val="24"/>
          <w:szCs w:val="24"/>
        </w:rPr>
        <w:t xml:space="preserve"> para a metrópole tinham partido cerca de 839 estudantes. Nos anos letivos seguintes (1964/65 até 1968/69) o número de alunos matriculados nos Estudos Gerais foi aumentando, embora em número pouco significativo, talvez devido ao fato de terem aumentado igualmente os anos dos cursos (2º ano em diante), continuando a saída de estudantes para a metrópole a registar valores superiores aos dos que permanecem naquele território ultramarino. O fato dos Estudos Gerais estarem integrados na Universidade Portuguesa, de disponibilizarem pouca oferta formativa e de não</w:t>
      </w:r>
      <w:r>
        <w:rPr>
          <w:rFonts w:ascii="Times New Roman" w:hAnsi="Times New Roman"/>
          <w:sz w:val="24"/>
          <w:szCs w:val="24"/>
        </w:rPr>
        <w:t xml:space="preserve"> concederem o grau de licenciatura</w:t>
      </w:r>
      <w:r w:rsidRPr="00D22FD8">
        <w:rPr>
          <w:rFonts w:ascii="Times New Roman" w:hAnsi="Times New Roman"/>
          <w:sz w:val="24"/>
          <w:szCs w:val="24"/>
        </w:rPr>
        <w:t>, não despertou muito o interesse daqueles que continuavam a optar pela formação superior na metrópole. Essa situação altera-se a partir de 1969/70 quando o número de alunos a frequentarem os Estudos Gerais regista valores superiores ao</w:t>
      </w:r>
      <w:r>
        <w:rPr>
          <w:rFonts w:ascii="Times New Roman" w:hAnsi="Times New Roman"/>
          <w:sz w:val="24"/>
          <w:szCs w:val="24"/>
        </w:rPr>
        <w:t xml:space="preserve"> dos</w:t>
      </w:r>
      <w:r w:rsidRPr="00D22FD8">
        <w:rPr>
          <w:rFonts w:ascii="Times New Roman" w:hAnsi="Times New Roman"/>
          <w:sz w:val="24"/>
          <w:szCs w:val="24"/>
        </w:rPr>
        <w:t xml:space="preserve"> que partem. Essa inversão deve-se ao fato dos Estudos Gerais terem adquirido o </w:t>
      </w:r>
      <w:r>
        <w:rPr>
          <w:rFonts w:ascii="Times New Roman" w:hAnsi="Times New Roman"/>
          <w:sz w:val="24"/>
          <w:szCs w:val="24"/>
        </w:rPr>
        <w:t>e</w:t>
      </w:r>
      <w:r w:rsidRPr="00D22FD8">
        <w:rPr>
          <w:rFonts w:ascii="Times New Roman" w:hAnsi="Times New Roman"/>
          <w:sz w:val="24"/>
          <w:szCs w:val="24"/>
        </w:rPr>
        <w:t>statuto de Universidade, passando a designar-se Universidade de Luanda</w:t>
      </w:r>
    </w:p>
    <w:p w:rsidR="00B65464" w:rsidRPr="00D22FD8" w:rsidRDefault="00B65464" w:rsidP="00CA148F">
      <w:pPr>
        <w:spacing w:after="0" w:line="360" w:lineRule="auto"/>
        <w:ind w:firstLine="900"/>
        <w:jc w:val="both"/>
        <w:rPr>
          <w:rFonts w:ascii="Times New Roman" w:hAnsi="Times New Roman"/>
          <w:sz w:val="24"/>
          <w:szCs w:val="24"/>
        </w:rPr>
      </w:pPr>
      <w:r w:rsidRPr="00D22FD8">
        <w:rPr>
          <w:rStyle w:val="Refdenotadefim"/>
          <w:rFonts w:ascii="Times New Roman" w:hAnsi="Times New Roman"/>
          <w:sz w:val="24"/>
          <w:szCs w:val="24"/>
        </w:rPr>
        <w:lastRenderedPageBreak/>
        <w:endnoteReference w:id="1"/>
      </w:r>
      <w:r w:rsidRPr="00D22FD8">
        <w:rPr>
          <w:rFonts w:ascii="Times New Roman" w:hAnsi="Times New Roman"/>
          <w:sz w:val="24"/>
          <w:szCs w:val="24"/>
        </w:rPr>
        <w:t xml:space="preserve">, o que representou uma situação de autonomia em relação às universidades da metrópole, </w:t>
      </w:r>
      <w:r>
        <w:rPr>
          <w:rFonts w:ascii="Times New Roman" w:hAnsi="Times New Roman"/>
          <w:sz w:val="24"/>
          <w:szCs w:val="24"/>
        </w:rPr>
        <w:t>situação reforçada pela</w:t>
      </w:r>
      <w:r w:rsidRPr="00D22FD8">
        <w:rPr>
          <w:rFonts w:ascii="Times New Roman" w:hAnsi="Times New Roman"/>
          <w:sz w:val="24"/>
          <w:szCs w:val="24"/>
        </w:rPr>
        <w:t xml:space="preserve"> autorização </w:t>
      </w:r>
      <w:r>
        <w:rPr>
          <w:rFonts w:ascii="Times New Roman" w:hAnsi="Times New Roman"/>
          <w:sz w:val="24"/>
          <w:szCs w:val="24"/>
        </w:rPr>
        <w:t>que lhes é concedida para</w:t>
      </w:r>
      <w:r w:rsidRPr="00D22FD8">
        <w:rPr>
          <w:rFonts w:ascii="Times New Roman" w:hAnsi="Times New Roman"/>
          <w:sz w:val="24"/>
          <w:szCs w:val="24"/>
        </w:rPr>
        <w:t xml:space="preserve"> atribuír</w:t>
      </w:r>
      <w:r>
        <w:rPr>
          <w:rFonts w:ascii="Times New Roman" w:hAnsi="Times New Roman"/>
          <w:sz w:val="24"/>
          <w:szCs w:val="24"/>
        </w:rPr>
        <w:t>em</w:t>
      </w:r>
      <w:r w:rsidRPr="00D22FD8">
        <w:rPr>
          <w:rFonts w:ascii="Times New Roman" w:hAnsi="Times New Roman"/>
          <w:sz w:val="24"/>
          <w:szCs w:val="24"/>
        </w:rPr>
        <w:t xml:space="preserve"> o grau de licenciado.</w:t>
      </w:r>
    </w:p>
    <w:p w:rsidR="00B65464" w:rsidRPr="002C2599" w:rsidRDefault="00B65464" w:rsidP="002C2599">
      <w:pPr>
        <w:pStyle w:val="Cabealho2"/>
        <w:spacing w:line="240" w:lineRule="auto"/>
        <w:rPr>
          <w:sz w:val="20"/>
          <w:szCs w:val="20"/>
          <w:lang w:eastAsia="pt-PT"/>
        </w:rPr>
      </w:pPr>
      <w:bookmarkStart w:id="56" w:name="_Toc346758070"/>
    </w:p>
    <w:p w:rsidR="00B65464" w:rsidRPr="00D22FD8" w:rsidRDefault="00B65464" w:rsidP="005156FB">
      <w:pPr>
        <w:pStyle w:val="Cabealho2"/>
        <w:jc w:val="both"/>
        <w:rPr>
          <w:lang w:eastAsia="pt-PT"/>
        </w:rPr>
      </w:pPr>
      <w:r>
        <w:rPr>
          <w:lang w:eastAsia="pt-PT"/>
        </w:rPr>
        <w:t>O período p</w:t>
      </w:r>
      <w:r w:rsidRPr="00D22FD8">
        <w:rPr>
          <w:lang w:eastAsia="pt-PT"/>
        </w:rPr>
        <w:t>ós-</w:t>
      </w:r>
      <w:r>
        <w:rPr>
          <w:lang w:eastAsia="pt-PT"/>
        </w:rPr>
        <w:t>i</w:t>
      </w:r>
      <w:r w:rsidRPr="00D22FD8">
        <w:rPr>
          <w:lang w:eastAsia="pt-PT"/>
        </w:rPr>
        <w:t xml:space="preserve">ndependência: </w:t>
      </w:r>
      <w:r>
        <w:rPr>
          <w:lang w:eastAsia="pt-PT"/>
        </w:rPr>
        <w:t>a política de bolsas de e</w:t>
      </w:r>
      <w:r w:rsidRPr="00D22FD8">
        <w:rPr>
          <w:lang w:eastAsia="pt-PT"/>
        </w:rPr>
        <w:t>studo</w:t>
      </w:r>
      <w:bookmarkEnd w:id="56"/>
    </w:p>
    <w:p w:rsidR="00B65464" w:rsidRPr="00D22FD8" w:rsidRDefault="00B65464" w:rsidP="00CA148F">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A formação de quadros foi</w:t>
      </w:r>
      <w:r>
        <w:rPr>
          <w:rFonts w:ascii="Times New Roman" w:hAnsi="Times New Roman"/>
          <w:sz w:val="24"/>
          <w:szCs w:val="24"/>
          <w:lang w:eastAsia="pt-PT"/>
        </w:rPr>
        <w:t xml:space="preserve"> </w:t>
      </w:r>
      <w:r w:rsidRPr="00D22FD8">
        <w:rPr>
          <w:rFonts w:ascii="Times New Roman" w:hAnsi="Times New Roman"/>
          <w:sz w:val="24"/>
          <w:szCs w:val="24"/>
          <w:lang w:eastAsia="pt-PT"/>
        </w:rPr>
        <w:t>um dos desafios mais importantes que o governo da República Popular de Angola</w:t>
      </w:r>
      <w:r>
        <w:rPr>
          <w:rFonts w:ascii="Times New Roman" w:hAnsi="Times New Roman"/>
          <w:sz w:val="24"/>
          <w:szCs w:val="24"/>
          <w:lang w:eastAsia="pt-PT"/>
        </w:rPr>
        <w:t xml:space="preserve"> (RPA)</w:t>
      </w:r>
      <w:r w:rsidRPr="00D22FD8">
        <w:rPr>
          <w:rFonts w:ascii="Times New Roman" w:hAnsi="Times New Roman"/>
          <w:sz w:val="24"/>
          <w:szCs w:val="24"/>
          <w:lang w:eastAsia="pt-PT"/>
        </w:rPr>
        <w:t xml:space="preserve"> traçou, concretizando um dos objetivos anunciados durante a luta de libertação. No entanto, o êxodo massivo da maioria dos quadros técnicos de Angola, bem como a necessidade de reestruturação da referida instituição</w:t>
      </w:r>
      <w:r>
        <w:rPr>
          <w:rFonts w:ascii="Times New Roman" w:hAnsi="Times New Roman"/>
          <w:sz w:val="24"/>
          <w:szCs w:val="24"/>
          <w:lang w:eastAsia="pt-PT"/>
        </w:rPr>
        <w:t>,</w:t>
      </w:r>
      <w:r w:rsidRPr="00D22FD8">
        <w:rPr>
          <w:rFonts w:ascii="Times New Roman" w:hAnsi="Times New Roman"/>
          <w:sz w:val="24"/>
          <w:szCs w:val="24"/>
          <w:lang w:eastAsia="pt-PT"/>
        </w:rPr>
        <w:t xml:space="preserve"> que levou à mudança de designação para Universidade de Angola</w:t>
      </w:r>
      <w:r w:rsidRPr="00D22FD8">
        <w:rPr>
          <w:rStyle w:val="Refdenotadefim"/>
          <w:rFonts w:ascii="Times New Roman" w:hAnsi="Times New Roman"/>
          <w:sz w:val="24"/>
          <w:szCs w:val="24"/>
          <w:lang w:eastAsia="pt-PT"/>
        </w:rPr>
        <w:endnoteReference w:id="2"/>
      </w:r>
      <w:r>
        <w:rPr>
          <w:rFonts w:ascii="Times New Roman" w:hAnsi="Times New Roman"/>
          <w:sz w:val="24"/>
          <w:szCs w:val="24"/>
          <w:lang w:eastAsia="pt-PT"/>
        </w:rPr>
        <w:t>,</w:t>
      </w:r>
      <w:r w:rsidRPr="00D22FD8">
        <w:rPr>
          <w:rFonts w:ascii="Times New Roman" w:hAnsi="Times New Roman"/>
          <w:sz w:val="24"/>
          <w:szCs w:val="24"/>
          <w:lang w:eastAsia="pt-PT"/>
        </w:rPr>
        <w:t xml:space="preserve"> dificultaram essa realização.</w:t>
      </w:r>
    </w:p>
    <w:p w:rsidR="00B65464" w:rsidRDefault="00B65464" w:rsidP="00CA148F">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Até 1991, a polít</w:t>
      </w:r>
      <w:r>
        <w:rPr>
          <w:rFonts w:ascii="Times New Roman" w:hAnsi="Times New Roman"/>
          <w:sz w:val="24"/>
          <w:szCs w:val="24"/>
          <w:lang w:eastAsia="pt-PT"/>
        </w:rPr>
        <w:t>ica do E</w:t>
      </w:r>
      <w:r w:rsidRPr="00D22FD8">
        <w:rPr>
          <w:rFonts w:ascii="Times New Roman" w:hAnsi="Times New Roman"/>
          <w:sz w:val="24"/>
          <w:szCs w:val="24"/>
          <w:lang w:eastAsia="pt-PT"/>
        </w:rPr>
        <w:t>stado angolano em relação ao ensino superior alternou entre a formação superior dentro do país e o envio de bolseiros para o exterior. Nes</w:t>
      </w:r>
      <w:r>
        <w:rPr>
          <w:rFonts w:ascii="Times New Roman" w:hAnsi="Times New Roman"/>
          <w:sz w:val="24"/>
          <w:szCs w:val="24"/>
          <w:lang w:eastAsia="pt-PT"/>
        </w:rPr>
        <w:t>t</w:t>
      </w:r>
      <w:r w:rsidRPr="00D22FD8">
        <w:rPr>
          <w:rFonts w:ascii="Times New Roman" w:hAnsi="Times New Roman"/>
          <w:sz w:val="24"/>
          <w:szCs w:val="24"/>
          <w:lang w:eastAsia="pt-PT"/>
        </w:rPr>
        <w:t>e período (1975 – 1991), “foram formados no interior de Angola 2</w:t>
      </w:r>
      <w:r>
        <w:rPr>
          <w:rFonts w:ascii="Times New Roman" w:hAnsi="Times New Roman"/>
          <w:sz w:val="24"/>
          <w:szCs w:val="24"/>
          <w:lang w:eastAsia="pt-PT"/>
        </w:rPr>
        <w:t>.</w:t>
      </w:r>
      <w:r w:rsidRPr="00D22FD8">
        <w:rPr>
          <w:rFonts w:ascii="Times New Roman" w:hAnsi="Times New Roman"/>
          <w:sz w:val="24"/>
          <w:szCs w:val="24"/>
          <w:lang w:eastAsia="pt-PT"/>
        </w:rPr>
        <w:t>174 técnicos superiores e de 1982 a 1992 foram formados um total de 1</w:t>
      </w:r>
      <w:r>
        <w:rPr>
          <w:rFonts w:ascii="Times New Roman" w:hAnsi="Times New Roman"/>
          <w:sz w:val="24"/>
          <w:szCs w:val="24"/>
          <w:lang w:eastAsia="pt-PT"/>
        </w:rPr>
        <w:t>.</w:t>
      </w:r>
      <w:r w:rsidRPr="00D22FD8">
        <w:rPr>
          <w:rFonts w:ascii="Times New Roman" w:hAnsi="Times New Roman"/>
          <w:sz w:val="24"/>
          <w:szCs w:val="24"/>
          <w:lang w:eastAsia="pt-PT"/>
        </w:rPr>
        <w:t>733 técnicos superiores em vários países da Europa (ocidental e oriental), da América Latina e da América do Sul” (</w:t>
      </w:r>
      <w:r>
        <w:rPr>
          <w:rFonts w:ascii="Times New Roman" w:hAnsi="Times New Roman"/>
          <w:sz w:val="24"/>
          <w:szCs w:val="24"/>
          <w:lang w:eastAsia="pt-PT"/>
        </w:rPr>
        <w:t>ZAU, 2002,</w:t>
      </w:r>
      <w:r w:rsidRPr="00D22FD8">
        <w:rPr>
          <w:rFonts w:ascii="Times New Roman" w:hAnsi="Times New Roman"/>
          <w:sz w:val="24"/>
          <w:szCs w:val="24"/>
          <w:lang w:eastAsia="pt-PT"/>
        </w:rPr>
        <w:t xml:space="preserve"> </w:t>
      </w:r>
      <w:r>
        <w:rPr>
          <w:rFonts w:ascii="Times New Roman" w:hAnsi="Times New Roman"/>
          <w:sz w:val="24"/>
          <w:szCs w:val="24"/>
          <w:lang w:eastAsia="pt-PT"/>
        </w:rPr>
        <w:t xml:space="preserve">p. </w:t>
      </w:r>
      <w:r w:rsidRPr="00D22FD8">
        <w:rPr>
          <w:rFonts w:ascii="Times New Roman" w:hAnsi="Times New Roman"/>
          <w:sz w:val="24"/>
          <w:szCs w:val="24"/>
          <w:lang w:eastAsia="pt-PT"/>
        </w:rPr>
        <w:t>137). O reacendimento da guerra civil em 1992 forçosamente levou a uma continuidade</w:t>
      </w:r>
      <w:r>
        <w:rPr>
          <w:rFonts w:ascii="Times New Roman" w:hAnsi="Times New Roman"/>
          <w:sz w:val="24"/>
          <w:szCs w:val="24"/>
          <w:lang w:eastAsia="pt-PT"/>
        </w:rPr>
        <w:t xml:space="preserve"> e até intensificação</w:t>
      </w:r>
      <w:r w:rsidRPr="00D22FD8">
        <w:rPr>
          <w:rFonts w:ascii="Times New Roman" w:hAnsi="Times New Roman"/>
          <w:sz w:val="24"/>
          <w:szCs w:val="24"/>
          <w:lang w:eastAsia="pt-PT"/>
        </w:rPr>
        <w:t xml:space="preserve"> dessa política de envio.</w:t>
      </w:r>
    </w:p>
    <w:p w:rsidR="00B65464" w:rsidRPr="00D22FD8" w:rsidRDefault="00B65464" w:rsidP="00403CF3">
      <w:pPr>
        <w:spacing w:after="0" w:line="240" w:lineRule="auto"/>
        <w:ind w:firstLine="540"/>
        <w:jc w:val="both"/>
        <w:rPr>
          <w:rFonts w:ascii="Times New Roman" w:hAnsi="Times New Roman"/>
          <w:sz w:val="24"/>
          <w:szCs w:val="24"/>
          <w:lang w:eastAsia="pt-PT"/>
        </w:rPr>
      </w:pPr>
    </w:p>
    <w:tbl>
      <w:tblPr>
        <w:tblStyle w:val="Tabelacomgrelha"/>
        <w:tblW w:w="9747" w:type="dxa"/>
        <w:tblLayout w:type="fixed"/>
        <w:tblLook w:val="04A0" w:firstRow="1" w:lastRow="0" w:firstColumn="1" w:lastColumn="0" w:noHBand="0" w:noVBand="1"/>
      </w:tblPr>
      <w:tblGrid>
        <w:gridCol w:w="5920"/>
        <w:gridCol w:w="3827"/>
      </w:tblGrid>
      <w:tr w:rsidR="00B65464" w:rsidRPr="00D22FD8" w:rsidTr="00403CF3">
        <w:tc>
          <w:tcPr>
            <w:tcW w:w="5920" w:type="dxa"/>
            <w:tcBorders>
              <w:top w:val="nil"/>
              <w:left w:val="nil"/>
              <w:bottom w:val="nil"/>
              <w:right w:val="nil"/>
            </w:tcBorders>
          </w:tcPr>
          <w:p w:rsidR="00B65464" w:rsidRDefault="00B65464" w:rsidP="00403CF3">
            <w:pPr>
              <w:pStyle w:val="legendastese"/>
            </w:pPr>
            <w:bookmarkStart w:id="57" w:name="_Toc321218233"/>
          </w:p>
          <w:p w:rsidR="00B65464" w:rsidRPr="00395E79" w:rsidRDefault="00B65464" w:rsidP="00A72425">
            <w:pPr>
              <w:pStyle w:val="legendastese"/>
              <w:jc w:val="both"/>
            </w:pPr>
            <w:r>
              <w:t xml:space="preserve">Quadro 2. </w:t>
            </w:r>
            <w:r w:rsidRPr="00880BAC">
              <w:t>Investimento do governo angolano na formação superior (em milhares de dólares)</w:t>
            </w:r>
            <w:bookmarkEnd w:id="57"/>
          </w:p>
          <w:tbl>
            <w:tblPr>
              <w:tblStyle w:val="Tabelacomgrelha"/>
              <w:tblpPr w:leftFromText="141" w:rightFromText="141" w:vertAnchor="text" w:horzAnchor="margin" w:tblpY="200"/>
              <w:tblOverlap w:val="never"/>
              <w:tblW w:w="5807" w:type="dxa"/>
              <w:tblLayout w:type="fixed"/>
              <w:tblLook w:val="04A0" w:firstRow="1" w:lastRow="0" w:firstColumn="1" w:lastColumn="0" w:noHBand="0" w:noVBand="1"/>
            </w:tblPr>
            <w:tblGrid>
              <w:gridCol w:w="1413"/>
              <w:gridCol w:w="850"/>
              <w:gridCol w:w="851"/>
              <w:gridCol w:w="850"/>
              <w:gridCol w:w="993"/>
              <w:gridCol w:w="850"/>
            </w:tblGrid>
            <w:tr w:rsidR="00B65464" w:rsidRPr="00395E79" w:rsidTr="00403CF3">
              <w:tc>
                <w:tcPr>
                  <w:tcW w:w="1413" w:type="dxa"/>
                  <w:shd w:val="clear" w:color="auto" w:fill="A6A6A6" w:themeFill="background1" w:themeFillShade="A6"/>
                </w:tcPr>
                <w:p w:rsidR="00B65464" w:rsidRPr="00395E79" w:rsidRDefault="00B65464" w:rsidP="00403CF3">
                  <w:pPr>
                    <w:pStyle w:val="Quadros"/>
                  </w:pPr>
                </w:p>
              </w:tc>
              <w:tc>
                <w:tcPr>
                  <w:tcW w:w="850" w:type="dxa"/>
                  <w:shd w:val="clear" w:color="auto" w:fill="A6A6A6" w:themeFill="background1" w:themeFillShade="A6"/>
                </w:tcPr>
                <w:p w:rsidR="00B65464" w:rsidRPr="00395E79" w:rsidRDefault="00B65464" w:rsidP="00403CF3">
                  <w:pPr>
                    <w:pStyle w:val="Quadros"/>
                    <w:rPr>
                      <w:b/>
                    </w:rPr>
                  </w:pPr>
                  <w:r w:rsidRPr="00395E79">
                    <w:rPr>
                      <w:b/>
                    </w:rPr>
                    <w:t>1997</w:t>
                  </w:r>
                </w:p>
              </w:tc>
              <w:tc>
                <w:tcPr>
                  <w:tcW w:w="851" w:type="dxa"/>
                  <w:shd w:val="clear" w:color="auto" w:fill="A6A6A6" w:themeFill="background1" w:themeFillShade="A6"/>
                </w:tcPr>
                <w:p w:rsidR="00B65464" w:rsidRPr="00395E79" w:rsidRDefault="00B65464" w:rsidP="00403CF3">
                  <w:pPr>
                    <w:pStyle w:val="Quadros"/>
                    <w:rPr>
                      <w:b/>
                    </w:rPr>
                  </w:pPr>
                  <w:r w:rsidRPr="00395E79">
                    <w:rPr>
                      <w:b/>
                    </w:rPr>
                    <w:t>1998</w:t>
                  </w:r>
                </w:p>
              </w:tc>
              <w:tc>
                <w:tcPr>
                  <w:tcW w:w="850" w:type="dxa"/>
                  <w:shd w:val="clear" w:color="auto" w:fill="A6A6A6" w:themeFill="background1" w:themeFillShade="A6"/>
                </w:tcPr>
                <w:p w:rsidR="00B65464" w:rsidRPr="00395E79" w:rsidRDefault="00B65464" w:rsidP="00403CF3">
                  <w:pPr>
                    <w:pStyle w:val="Quadros"/>
                    <w:rPr>
                      <w:b/>
                    </w:rPr>
                  </w:pPr>
                  <w:r w:rsidRPr="00395E79">
                    <w:rPr>
                      <w:b/>
                    </w:rPr>
                    <w:t>1999</w:t>
                  </w:r>
                </w:p>
              </w:tc>
              <w:tc>
                <w:tcPr>
                  <w:tcW w:w="993" w:type="dxa"/>
                  <w:shd w:val="clear" w:color="auto" w:fill="A6A6A6" w:themeFill="background1" w:themeFillShade="A6"/>
                </w:tcPr>
                <w:p w:rsidR="00B65464" w:rsidRPr="00395E79" w:rsidRDefault="00B65464" w:rsidP="00403CF3">
                  <w:pPr>
                    <w:pStyle w:val="Quadros"/>
                    <w:rPr>
                      <w:b/>
                    </w:rPr>
                  </w:pPr>
                  <w:r w:rsidRPr="00395E79">
                    <w:rPr>
                      <w:b/>
                    </w:rPr>
                    <w:t>2000</w:t>
                  </w:r>
                </w:p>
              </w:tc>
              <w:tc>
                <w:tcPr>
                  <w:tcW w:w="850" w:type="dxa"/>
                  <w:shd w:val="clear" w:color="auto" w:fill="A6A6A6" w:themeFill="background1" w:themeFillShade="A6"/>
                </w:tcPr>
                <w:p w:rsidR="00B65464" w:rsidRPr="00395E79" w:rsidRDefault="00B65464" w:rsidP="00403CF3">
                  <w:pPr>
                    <w:pStyle w:val="Quadros"/>
                    <w:rPr>
                      <w:b/>
                    </w:rPr>
                  </w:pPr>
                  <w:r w:rsidRPr="00395E79">
                    <w:rPr>
                      <w:b/>
                    </w:rPr>
                    <w:t>2001</w:t>
                  </w:r>
                </w:p>
              </w:tc>
            </w:tr>
            <w:tr w:rsidR="00B65464" w:rsidRPr="00395E79" w:rsidTr="00403CF3">
              <w:tc>
                <w:tcPr>
                  <w:tcW w:w="1413" w:type="dxa"/>
                </w:tcPr>
                <w:p w:rsidR="00B65464" w:rsidRPr="00395E79" w:rsidRDefault="00B65464" w:rsidP="00403CF3">
                  <w:pPr>
                    <w:pStyle w:val="Quadros"/>
                    <w:ind w:right="-90"/>
                    <w:rPr>
                      <w:b/>
                    </w:rPr>
                  </w:pPr>
                  <w:r w:rsidRPr="00395E79">
                    <w:rPr>
                      <w:b/>
                    </w:rPr>
                    <w:t>Universidade</w:t>
                  </w:r>
                </w:p>
              </w:tc>
              <w:tc>
                <w:tcPr>
                  <w:tcW w:w="850" w:type="dxa"/>
                </w:tcPr>
                <w:p w:rsidR="00B65464" w:rsidRPr="00395E79" w:rsidRDefault="00B65464" w:rsidP="00403CF3">
                  <w:pPr>
                    <w:pStyle w:val="Quadros"/>
                  </w:pPr>
                  <w:r>
                    <w:t>13.</w:t>
                  </w:r>
                  <w:r w:rsidRPr="00395E79">
                    <w:t>418</w:t>
                  </w:r>
                </w:p>
              </w:tc>
              <w:tc>
                <w:tcPr>
                  <w:tcW w:w="851" w:type="dxa"/>
                </w:tcPr>
                <w:p w:rsidR="00B65464" w:rsidRPr="00395E79" w:rsidRDefault="00B65464" w:rsidP="00403CF3">
                  <w:pPr>
                    <w:pStyle w:val="Quadros"/>
                  </w:pPr>
                  <w:r>
                    <w:t>12.</w:t>
                  </w:r>
                  <w:r w:rsidRPr="00395E79">
                    <w:t>913</w:t>
                  </w:r>
                </w:p>
              </w:tc>
              <w:tc>
                <w:tcPr>
                  <w:tcW w:w="850" w:type="dxa"/>
                </w:tcPr>
                <w:p w:rsidR="00B65464" w:rsidRPr="00395E79" w:rsidRDefault="00B65464" w:rsidP="00403CF3">
                  <w:pPr>
                    <w:pStyle w:val="Quadros"/>
                  </w:pPr>
                  <w:r>
                    <w:t>13.</w:t>
                  </w:r>
                  <w:r w:rsidRPr="00395E79">
                    <w:t>767</w:t>
                  </w:r>
                </w:p>
              </w:tc>
              <w:tc>
                <w:tcPr>
                  <w:tcW w:w="993" w:type="dxa"/>
                </w:tcPr>
                <w:p w:rsidR="00B65464" w:rsidRPr="00395E79" w:rsidRDefault="00B65464" w:rsidP="00403CF3">
                  <w:pPr>
                    <w:pStyle w:val="Quadros"/>
                  </w:pPr>
                  <w:r>
                    <w:t>23.</w:t>
                  </w:r>
                  <w:r w:rsidRPr="00395E79">
                    <w:t>3000</w:t>
                  </w:r>
                </w:p>
              </w:tc>
              <w:tc>
                <w:tcPr>
                  <w:tcW w:w="850" w:type="dxa"/>
                </w:tcPr>
                <w:p w:rsidR="00B65464" w:rsidRPr="00395E79" w:rsidRDefault="00B65464" w:rsidP="00403CF3">
                  <w:pPr>
                    <w:pStyle w:val="Quadros"/>
                  </w:pPr>
                  <w:r>
                    <w:t>31.</w:t>
                  </w:r>
                  <w:r w:rsidRPr="00395E79">
                    <w:t>702</w:t>
                  </w:r>
                </w:p>
              </w:tc>
            </w:tr>
            <w:tr w:rsidR="00B65464" w:rsidRPr="00395E79" w:rsidTr="00403CF3">
              <w:tc>
                <w:tcPr>
                  <w:tcW w:w="1413" w:type="dxa"/>
                </w:tcPr>
                <w:p w:rsidR="00B65464" w:rsidRPr="00395E79" w:rsidRDefault="00B65464" w:rsidP="00403CF3">
                  <w:pPr>
                    <w:pStyle w:val="Quadros"/>
                    <w:rPr>
                      <w:b/>
                    </w:rPr>
                  </w:pPr>
                  <w:r w:rsidRPr="00395E79">
                    <w:rPr>
                      <w:b/>
                    </w:rPr>
                    <w:t>Bolsas</w:t>
                  </w:r>
                </w:p>
              </w:tc>
              <w:tc>
                <w:tcPr>
                  <w:tcW w:w="850" w:type="dxa"/>
                </w:tcPr>
                <w:p w:rsidR="00B65464" w:rsidRPr="00395E79" w:rsidRDefault="00B65464" w:rsidP="00403CF3">
                  <w:pPr>
                    <w:pStyle w:val="Quadros"/>
                  </w:pPr>
                  <w:r>
                    <w:t>29.</w:t>
                  </w:r>
                  <w:r w:rsidRPr="00395E79">
                    <w:t>138</w:t>
                  </w:r>
                </w:p>
              </w:tc>
              <w:tc>
                <w:tcPr>
                  <w:tcW w:w="851" w:type="dxa"/>
                </w:tcPr>
                <w:p w:rsidR="00B65464" w:rsidRPr="00395E79" w:rsidRDefault="00B65464" w:rsidP="00403CF3">
                  <w:pPr>
                    <w:pStyle w:val="Quadros"/>
                  </w:pPr>
                  <w:r>
                    <w:t>13.</w:t>
                  </w:r>
                  <w:r w:rsidRPr="00395E79">
                    <w:t>204</w:t>
                  </w:r>
                </w:p>
              </w:tc>
              <w:tc>
                <w:tcPr>
                  <w:tcW w:w="850" w:type="dxa"/>
                </w:tcPr>
                <w:p w:rsidR="00B65464" w:rsidRPr="00395E79" w:rsidRDefault="00B65464" w:rsidP="00403CF3">
                  <w:pPr>
                    <w:pStyle w:val="Quadros"/>
                  </w:pPr>
                  <w:r>
                    <w:t>46.</w:t>
                  </w:r>
                  <w:r w:rsidRPr="00395E79">
                    <w:t>141</w:t>
                  </w:r>
                </w:p>
              </w:tc>
              <w:tc>
                <w:tcPr>
                  <w:tcW w:w="993" w:type="dxa"/>
                </w:tcPr>
                <w:p w:rsidR="00B65464" w:rsidRPr="00395E79" w:rsidRDefault="00B65464" w:rsidP="00403CF3">
                  <w:pPr>
                    <w:pStyle w:val="Quadros"/>
                  </w:pPr>
                  <w:r>
                    <w:t>30.</w:t>
                  </w:r>
                  <w:r w:rsidRPr="00395E79">
                    <w:t>205</w:t>
                  </w:r>
                </w:p>
              </w:tc>
              <w:tc>
                <w:tcPr>
                  <w:tcW w:w="850" w:type="dxa"/>
                </w:tcPr>
                <w:p w:rsidR="00B65464" w:rsidRPr="00395E79" w:rsidRDefault="00B65464" w:rsidP="00403CF3">
                  <w:pPr>
                    <w:pStyle w:val="Quadros"/>
                  </w:pPr>
                  <w:r>
                    <w:t>28.</w:t>
                  </w:r>
                  <w:r w:rsidRPr="00395E79">
                    <w:t>091</w:t>
                  </w:r>
                </w:p>
              </w:tc>
            </w:tr>
          </w:tbl>
          <w:p w:rsidR="00B65464" w:rsidRPr="00395E79" w:rsidRDefault="00B65464" w:rsidP="00A72425">
            <w:pPr>
              <w:jc w:val="both"/>
              <w:rPr>
                <w:rFonts w:ascii="Times New Roman" w:hAnsi="Times New Roman"/>
              </w:rPr>
            </w:pPr>
            <w:r w:rsidRPr="004370B7">
              <w:rPr>
                <w:rFonts w:ascii="Times New Roman" w:hAnsi="Times New Roman"/>
              </w:rPr>
              <w:t>Fonte</w:t>
            </w:r>
            <w:r>
              <w:rPr>
                <w:rFonts w:ascii="Times New Roman" w:hAnsi="Times New Roman"/>
              </w:rPr>
              <w:t>: Vinyals (2002, p.</w:t>
            </w:r>
            <w:r w:rsidRPr="00395E79">
              <w:rPr>
                <w:rFonts w:ascii="Times New Roman" w:hAnsi="Times New Roman"/>
              </w:rPr>
              <w:t xml:space="preserve"> 53)</w:t>
            </w:r>
          </w:p>
          <w:p w:rsidR="00B65464" w:rsidRPr="00D22FD8" w:rsidRDefault="00B65464" w:rsidP="00403CF3">
            <w:pPr>
              <w:rPr>
                <w:rFonts w:ascii="Times New Roman" w:hAnsi="Times New Roman"/>
              </w:rPr>
            </w:pPr>
          </w:p>
          <w:p w:rsidR="00B65464" w:rsidRPr="00D22FD8" w:rsidRDefault="00B65464" w:rsidP="00403CF3">
            <w:pPr>
              <w:rPr>
                <w:rFonts w:ascii="Times New Roman" w:hAnsi="Times New Roman"/>
              </w:rPr>
            </w:pPr>
          </w:p>
        </w:tc>
        <w:tc>
          <w:tcPr>
            <w:tcW w:w="3827" w:type="dxa"/>
            <w:tcBorders>
              <w:top w:val="nil"/>
              <w:left w:val="nil"/>
              <w:bottom w:val="nil"/>
              <w:right w:val="nil"/>
            </w:tcBorders>
          </w:tcPr>
          <w:p w:rsidR="00B65464" w:rsidRPr="00D22FD8" w:rsidRDefault="00B65464" w:rsidP="00403CF3">
            <w:pPr>
              <w:rPr>
                <w:rFonts w:ascii="Times New Roman" w:hAnsi="Times New Roman"/>
              </w:rPr>
            </w:pPr>
            <w:r>
              <w:rPr>
                <w:rFonts w:ascii="Times New Roman" w:hAnsi="Times New Roman"/>
                <w:noProof/>
                <w:sz w:val="24"/>
                <w:szCs w:val="24"/>
                <w:lang w:val="pt-AO" w:eastAsia="pt-AO"/>
              </w:rPr>
              <mc:AlternateContent>
                <mc:Choice Requires="wps">
                  <w:drawing>
                    <wp:anchor distT="0" distB="0" distL="114300" distR="114300" simplePos="0" relativeHeight="251661312" behindDoc="0" locked="0" layoutInCell="1" allowOverlap="1" wp14:anchorId="034F20DA" wp14:editId="0DABFC47">
                      <wp:simplePos x="0" y="0"/>
                      <wp:positionH relativeFrom="column">
                        <wp:posOffset>-20955</wp:posOffset>
                      </wp:positionH>
                      <wp:positionV relativeFrom="paragraph">
                        <wp:posOffset>14605</wp:posOffset>
                      </wp:positionV>
                      <wp:extent cx="2181225" cy="726440"/>
                      <wp:effectExtent l="9525" t="12700" r="9525" b="1333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264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84B75" w:rsidRPr="00D63B6C" w:rsidRDefault="00B84B75" w:rsidP="00403CF3">
                                  <w:pPr>
                                    <w:pStyle w:val="Legenda"/>
                                    <w:jc w:val="both"/>
                                    <w:rPr>
                                      <w:rFonts w:ascii="Times New Roman" w:hAnsi="Times New Roman"/>
                                      <w:b w:val="0"/>
                                      <w:color w:val="auto"/>
                                      <w:sz w:val="22"/>
                                      <w:szCs w:val="22"/>
                                    </w:rPr>
                                  </w:pPr>
                                  <w:bookmarkStart w:id="58" w:name="_Toc321218221"/>
                                  <w:r w:rsidRPr="00D63B6C">
                                    <w:rPr>
                                      <w:rFonts w:ascii="Times New Roman" w:hAnsi="Times New Roman"/>
                                      <w:b w:val="0"/>
                                      <w:color w:val="auto"/>
                                      <w:sz w:val="22"/>
                                      <w:szCs w:val="22"/>
                                    </w:rPr>
                                    <w:t>Figura 2. Investimento do governo angolano na fo</w:t>
                                  </w:r>
                                  <w:r>
                                    <w:rPr>
                                      <w:rFonts w:ascii="Times New Roman" w:hAnsi="Times New Roman"/>
                                      <w:b w:val="0"/>
                                      <w:color w:val="auto"/>
                                      <w:sz w:val="22"/>
                                      <w:szCs w:val="22"/>
                                    </w:rPr>
                                    <w:t>rmação superior (em milhares de dólares</w:t>
                                  </w:r>
                                  <w:r w:rsidRPr="00D63B6C">
                                    <w:rPr>
                                      <w:rFonts w:ascii="Times New Roman" w:hAnsi="Times New Roman"/>
                                      <w:b w:val="0"/>
                                      <w:color w:val="auto"/>
                                      <w:sz w:val="22"/>
                                      <w:szCs w:val="22"/>
                                    </w:rPr>
                                    <w:t>)</w:t>
                                  </w:r>
                                  <w:bookmarkEnd w:id="58"/>
                                </w:p>
                                <w:p w:rsidR="00B84B75" w:rsidRDefault="00B84B75" w:rsidP="00403C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4F20DA" id="_x0000_t202" coordsize="21600,21600" o:spt="202" path="m,l,21600r21600,l21600,xe">
                      <v:stroke joinstyle="miter"/>
                      <v:path gradientshapeok="t" o:connecttype="rect"/>
                    </v:shapetype>
                    <v:shape id="Caixa de texto 3" o:spid="_x0000_s1026" type="#_x0000_t202" style="position:absolute;margin-left:-1.65pt;margin-top:1.15pt;width:171.75pt;height: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" fillcolor="white [3212]" strokecolor="white [3212]">
                      <v:textbox>
                        <w:txbxContent>
                          <w:p w:rsidR="00B84B75" w:rsidRPr="00D63B6C" w:rsidRDefault="00B84B75" w:rsidP="00403CF3">
                            <w:pPr>
                              <w:pStyle w:val="Legenda"/>
                              <w:jc w:val="both"/>
                              <w:rPr>
                                <w:rFonts w:ascii="Times New Roman" w:hAnsi="Times New Roman"/>
                                <w:b w:val="0"/>
                                <w:color w:val="auto"/>
                                <w:sz w:val="22"/>
                                <w:szCs w:val="22"/>
                              </w:rPr>
                            </w:pPr>
                            <w:bookmarkStart w:id="59" w:name="_Toc321218221"/>
                            <w:r w:rsidRPr="00D63B6C">
                              <w:rPr>
                                <w:rFonts w:ascii="Times New Roman" w:hAnsi="Times New Roman"/>
                                <w:b w:val="0"/>
                                <w:color w:val="auto"/>
                                <w:sz w:val="22"/>
                                <w:szCs w:val="22"/>
                              </w:rPr>
                              <w:t>Figura 2. Investimento do governo angolano na fo</w:t>
                            </w:r>
                            <w:r>
                              <w:rPr>
                                <w:rFonts w:ascii="Times New Roman" w:hAnsi="Times New Roman"/>
                                <w:b w:val="0"/>
                                <w:color w:val="auto"/>
                                <w:sz w:val="22"/>
                                <w:szCs w:val="22"/>
                              </w:rPr>
                              <w:t>rmação superior (em milhares de dólares</w:t>
                            </w:r>
                            <w:r w:rsidRPr="00D63B6C">
                              <w:rPr>
                                <w:rFonts w:ascii="Times New Roman" w:hAnsi="Times New Roman"/>
                                <w:b w:val="0"/>
                                <w:color w:val="auto"/>
                                <w:sz w:val="22"/>
                                <w:szCs w:val="22"/>
                              </w:rPr>
                              <w:t>)</w:t>
                            </w:r>
                            <w:bookmarkEnd w:id="59"/>
                          </w:p>
                          <w:p w:rsidR="00B84B75" w:rsidRDefault="00B84B75" w:rsidP="00403CF3"/>
                        </w:txbxContent>
                      </v:textbox>
                    </v:shape>
                  </w:pict>
                </mc:Fallback>
              </mc:AlternateContent>
            </w:r>
          </w:p>
          <w:p w:rsidR="00B65464" w:rsidRDefault="00B65464" w:rsidP="00403CF3">
            <w:pPr>
              <w:rPr>
                <w:rFonts w:ascii="Times New Roman" w:hAnsi="Times New Roman"/>
                <w:b/>
              </w:rPr>
            </w:pPr>
          </w:p>
          <w:p w:rsidR="00B65464" w:rsidRDefault="00B65464" w:rsidP="00403CF3">
            <w:pPr>
              <w:rPr>
                <w:rFonts w:ascii="Times New Roman" w:hAnsi="Times New Roman"/>
                <w:b/>
              </w:rPr>
            </w:pPr>
          </w:p>
          <w:p w:rsidR="00B65464" w:rsidRDefault="00B65464" w:rsidP="00403CF3">
            <w:pPr>
              <w:rPr>
                <w:rFonts w:ascii="Times New Roman" w:hAnsi="Times New Roman"/>
              </w:rPr>
            </w:pPr>
            <w:r w:rsidRPr="00D22FD8">
              <w:rPr>
                <w:rFonts w:ascii="Times New Roman" w:hAnsi="Times New Roman"/>
                <w:noProof/>
                <w:lang w:val="pt-AO" w:eastAsia="pt-AO"/>
              </w:rPr>
              <w:drawing>
                <wp:inline distT="0" distB="0" distL="0" distR="0" wp14:anchorId="19F9E24D" wp14:editId="226B586D">
                  <wp:extent cx="2247900" cy="2009775"/>
                  <wp:effectExtent l="19050" t="0" r="1905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5464" w:rsidRDefault="00B65464" w:rsidP="00A72425">
            <w:pPr>
              <w:jc w:val="both"/>
              <w:rPr>
                <w:rFonts w:ascii="Times New Roman" w:hAnsi="Times New Roman"/>
              </w:rPr>
            </w:pPr>
            <w:r w:rsidRPr="004370B7">
              <w:rPr>
                <w:rFonts w:ascii="Times New Roman" w:hAnsi="Times New Roman"/>
              </w:rPr>
              <w:t>Fonte</w:t>
            </w:r>
            <w:r>
              <w:rPr>
                <w:rFonts w:ascii="Times New Roman" w:hAnsi="Times New Roman"/>
              </w:rPr>
              <w:t>: baseado em Vinyals (2002, p.</w:t>
            </w:r>
            <w:r w:rsidRPr="00395E79">
              <w:rPr>
                <w:rFonts w:ascii="Times New Roman" w:hAnsi="Times New Roman"/>
              </w:rPr>
              <w:t xml:space="preserve"> 53) </w:t>
            </w:r>
          </w:p>
          <w:p w:rsidR="00B65464" w:rsidRPr="00395E79" w:rsidRDefault="00B65464" w:rsidP="00A72425">
            <w:pPr>
              <w:jc w:val="both"/>
              <w:rPr>
                <w:rFonts w:ascii="Times New Roman" w:hAnsi="Times New Roman"/>
              </w:rPr>
            </w:pPr>
            <w:r>
              <w:rPr>
                <w:rFonts w:ascii="Times New Roman" w:hAnsi="Times New Roman"/>
              </w:rPr>
              <w:t>Elaboração da autora</w:t>
            </w:r>
          </w:p>
          <w:p w:rsidR="00B65464" w:rsidRPr="00D22FD8" w:rsidRDefault="00B65464" w:rsidP="00403CF3">
            <w:pPr>
              <w:keepNext/>
              <w:rPr>
                <w:rFonts w:ascii="Times New Roman" w:hAnsi="Times New Roman"/>
              </w:rPr>
            </w:pPr>
          </w:p>
        </w:tc>
      </w:tr>
    </w:tbl>
    <w:p w:rsidR="00B65464" w:rsidRDefault="00B65464" w:rsidP="00403CF3">
      <w:pPr>
        <w:pStyle w:val="Legenda"/>
      </w:pPr>
    </w:p>
    <w:p w:rsidR="00B65464" w:rsidRPr="00D22FD8" w:rsidRDefault="00B65464" w:rsidP="00E21D72">
      <w:pPr>
        <w:spacing w:after="0" w:line="360" w:lineRule="auto"/>
        <w:ind w:firstLine="900"/>
        <w:jc w:val="both"/>
        <w:rPr>
          <w:rFonts w:ascii="Times New Roman" w:hAnsi="Times New Roman"/>
          <w:sz w:val="24"/>
          <w:szCs w:val="24"/>
          <w:lang w:eastAsia="pt-PT"/>
        </w:rPr>
      </w:pPr>
      <w:r>
        <w:rPr>
          <w:rFonts w:ascii="Times New Roman" w:hAnsi="Times New Roman"/>
          <w:sz w:val="24"/>
          <w:szCs w:val="24"/>
          <w:lang w:eastAsia="pt-PT"/>
        </w:rPr>
        <w:t>O peso das</w:t>
      </w:r>
      <w:r w:rsidRPr="00D22FD8">
        <w:rPr>
          <w:rFonts w:ascii="Times New Roman" w:hAnsi="Times New Roman"/>
          <w:sz w:val="24"/>
          <w:szCs w:val="24"/>
          <w:lang w:eastAsia="pt-PT"/>
        </w:rPr>
        <w:t xml:space="preserve"> despesas </w:t>
      </w:r>
      <w:r>
        <w:rPr>
          <w:rFonts w:ascii="Times New Roman" w:hAnsi="Times New Roman"/>
          <w:sz w:val="24"/>
          <w:szCs w:val="24"/>
          <w:lang w:eastAsia="pt-PT"/>
        </w:rPr>
        <w:t>em</w:t>
      </w:r>
      <w:r w:rsidRPr="00D22FD8">
        <w:rPr>
          <w:rFonts w:ascii="Times New Roman" w:hAnsi="Times New Roman"/>
          <w:sz w:val="24"/>
          <w:szCs w:val="24"/>
          <w:lang w:eastAsia="pt-PT"/>
        </w:rPr>
        <w:t xml:space="preserve"> bolsas de estudo no </w:t>
      </w:r>
      <w:r w:rsidRPr="00DF0381">
        <w:rPr>
          <w:rFonts w:ascii="Times New Roman" w:hAnsi="Times New Roman"/>
          <w:sz w:val="24"/>
          <w:szCs w:val="24"/>
          <w:lang w:eastAsia="pt-PT"/>
        </w:rPr>
        <w:t>Orçamento Geral do Estado (OGE),</w:t>
      </w:r>
      <w:r w:rsidRPr="00D22FD8">
        <w:rPr>
          <w:rFonts w:ascii="Times New Roman" w:hAnsi="Times New Roman"/>
          <w:sz w:val="24"/>
          <w:szCs w:val="24"/>
          <w:lang w:eastAsia="pt-PT"/>
        </w:rPr>
        <w:t xml:space="preserve"> </w:t>
      </w:r>
      <w:r>
        <w:rPr>
          <w:rFonts w:ascii="Times New Roman" w:hAnsi="Times New Roman"/>
          <w:sz w:val="24"/>
          <w:szCs w:val="24"/>
          <w:lang w:eastAsia="pt-PT"/>
        </w:rPr>
        <w:t>era superior ao</w:t>
      </w:r>
      <w:r w:rsidRPr="00D22FD8">
        <w:rPr>
          <w:rFonts w:ascii="Times New Roman" w:hAnsi="Times New Roman"/>
          <w:sz w:val="24"/>
          <w:szCs w:val="24"/>
          <w:lang w:eastAsia="pt-PT"/>
        </w:rPr>
        <w:t xml:space="preserve"> investimento no ensino superior dentro do país. O ano de 1998</w:t>
      </w:r>
      <w:r w:rsidRPr="00D22FD8">
        <w:rPr>
          <w:rStyle w:val="Refdenotadefim"/>
          <w:rFonts w:ascii="Times New Roman" w:hAnsi="Times New Roman"/>
          <w:sz w:val="24"/>
          <w:szCs w:val="24"/>
          <w:lang w:eastAsia="pt-PT"/>
        </w:rPr>
        <w:endnoteReference w:id="3"/>
      </w:r>
      <w:r w:rsidRPr="00D22FD8">
        <w:rPr>
          <w:rFonts w:ascii="Times New Roman" w:hAnsi="Times New Roman"/>
          <w:sz w:val="24"/>
          <w:szCs w:val="24"/>
          <w:lang w:eastAsia="pt-PT"/>
        </w:rPr>
        <w:t xml:space="preserve"> regista uma diminuição muito acentuada da despesa com as bolsas</w:t>
      </w:r>
      <w:r>
        <w:rPr>
          <w:rFonts w:ascii="Times New Roman" w:hAnsi="Times New Roman"/>
          <w:sz w:val="24"/>
          <w:szCs w:val="24"/>
          <w:lang w:eastAsia="pt-PT"/>
        </w:rPr>
        <w:t xml:space="preserve"> de estudo, tendo passado de </w:t>
      </w:r>
      <w:r>
        <w:rPr>
          <w:rFonts w:ascii="Times New Roman" w:hAnsi="Times New Roman"/>
          <w:sz w:val="24"/>
          <w:szCs w:val="24"/>
          <w:lang w:eastAsia="pt-PT"/>
        </w:rPr>
        <w:lastRenderedPageBreak/>
        <w:t>29.</w:t>
      </w:r>
      <w:r w:rsidRPr="00D22FD8">
        <w:rPr>
          <w:rFonts w:ascii="Times New Roman" w:hAnsi="Times New Roman"/>
          <w:sz w:val="24"/>
          <w:szCs w:val="24"/>
          <w:lang w:eastAsia="pt-PT"/>
        </w:rPr>
        <w:t xml:space="preserve">138 milhões de dólares em 1997 </w:t>
      </w:r>
      <w:r>
        <w:rPr>
          <w:rFonts w:ascii="Times New Roman" w:hAnsi="Times New Roman"/>
          <w:sz w:val="24"/>
          <w:szCs w:val="24"/>
          <w:lang w:eastAsia="pt-PT"/>
        </w:rPr>
        <w:t>para 13.</w:t>
      </w:r>
      <w:r w:rsidRPr="00D22FD8">
        <w:rPr>
          <w:rFonts w:ascii="Times New Roman" w:hAnsi="Times New Roman"/>
          <w:sz w:val="24"/>
          <w:szCs w:val="24"/>
          <w:lang w:eastAsia="pt-PT"/>
        </w:rPr>
        <w:t xml:space="preserve">204 milhões de dólares em 1998. </w:t>
      </w:r>
      <w:r>
        <w:rPr>
          <w:rFonts w:ascii="Times New Roman" w:hAnsi="Times New Roman"/>
          <w:sz w:val="24"/>
          <w:szCs w:val="24"/>
          <w:lang w:eastAsia="pt-PT"/>
        </w:rPr>
        <w:t>Essa descida deveu-se a uma interrupção dos pagamentos das bolsas tendo esta situação sido corrigida no ano seguinte. N</w:t>
      </w:r>
      <w:r w:rsidRPr="00D22FD8">
        <w:rPr>
          <w:rFonts w:ascii="Times New Roman" w:hAnsi="Times New Roman"/>
          <w:sz w:val="24"/>
          <w:szCs w:val="24"/>
          <w:lang w:eastAsia="pt-PT"/>
        </w:rPr>
        <w:t xml:space="preserve">o ano de 1999 </w:t>
      </w:r>
      <w:r>
        <w:rPr>
          <w:rFonts w:ascii="Times New Roman" w:hAnsi="Times New Roman"/>
          <w:sz w:val="24"/>
          <w:szCs w:val="24"/>
          <w:lang w:eastAsia="pt-PT"/>
        </w:rPr>
        <w:t>regista-se um acréscimo elevado (46.</w:t>
      </w:r>
      <w:r w:rsidRPr="00D22FD8">
        <w:rPr>
          <w:rFonts w:ascii="Times New Roman" w:hAnsi="Times New Roman"/>
          <w:sz w:val="24"/>
          <w:szCs w:val="24"/>
          <w:lang w:eastAsia="pt-PT"/>
        </w:rPr>
        <w:t>141 milhões de dólares), justificado pela “liquidação das dívidas relacionadas com o atraso no pagamento das bolsas” (</w:t>
      </w:r>
      <w:r>
        <w:rPr>
          <w:rFonts w:ascii="Times New Roman" w:hAnsi="Times New Roman"/>
          <w:sz w:val="24"/>
          <w:szCs w:val="24"/>
          <w:lang w:eastAsia="pt-PT"/>
        </w:rPr>
        <w:t>VINYALS, 2002, p.</w:t>
      </w:r>
      <w:r w:rsidRPr="00D22FD8">
        <w:rPr>
          <w:rFonts w:ascii="Times New Roman" w:hAnsi="Times New Roman"/>
          <w:sz w:val="24"/>
          <w:szCs w:val="24"/>
          <w:lang w:eastAsia="pt-PT"/>
        </w:rPr>
        <w:t xml:space="preserve"> 56). A partir do ano 2000 volta a registar-se uma diminuição nas despesas com bolsas de estudo no exterior. Em relação às despesas com o ensino superior, estas registam uma estagnação entre os</w:t>
      </w:r>
      <w:r>
        <w:rPr>
          <w:rFonts w:ascii="Times New Roman" w:hAnsi="Times New Roman"/>
          <w:sz w:val="24"/>
          <w:szCs w:val="24"/>
          <w:lang w:eastAsia="pt-PT"/>
        </w:rPr>
        <w:t xml:space="preserve"> anos de 1997-</w:t>
      </w:r>
      <w:r w:rsidRPr="00D22FD8">
        <w:rPr>
          <w:rFonts w:ascii="Times New Roman" w:hAnsi="Times New Roman"/>
          <w:sz w:val="24"/>
          <w:szCs w:val="24"/>
          <w:lang w:eastAsia="pt-PT"/>
        </w:rPr>
        <w:t>1999, aumentando a partir do ano 2000.</w:t>
      </w:r>
      <w:r w:rsidRPr="00D22FD8">
        <w:rPr>
          <w:rStyle w:val="Refdenotadefim"/>
          <w:rFonts w:ascii="Times New Roman" w:hAnsi="Times New Roman"/>
          <w:sz w:val="24"/>
          <w:szCs w:val="24"/>
          <w:lang w:eastAsia="pt-PT"/>
        </w:rPr>
        <w:endnoteReference w:id="4"/>
      </w:r>
    </w:p>
    <w:p w:rsidR="00B65464" w:rsidRDefault="00B65464" w:rsidP="00E21D72">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 xml:space="preserve">Esta desproporção de valores </w:t>
      </w:r>
      <w:r>
        <w:rPr>
          <w:rFonts w:ascii="Times New Roman" w:hAnsi="Times New Roman"/>
          <w:sz w:val="24"/>
          <w:szCs w:val="24"/>
          <w:lang w:eastAsia="pt-PT"/>
        </w:rPr>
        <w:t xml:space="preserve">de investimento em educação, a favor da concessão </w:t>
      </w:r>
      <w:r w:rsidRPr="00D22FD8">
        <w:rPr>
          <w:rFonts w:ascii="Times New Roman" w:hAnsi="Times New Roman"/>
          <w:sz w:val="24"/>
          <w:szCs w:val="24"/>
          <w:lang w:eastAsia="pt-PT"/>
        </w:rPr>
        <w:t>das bolsas de estudo no exterior</w:t>
      </w:r>
      <w:r>
        <w:rPr>
          <w:rFonts w:ascii="Times New Roman" w:hAnsi="Times New Roman"/>
          <w:sz w:val="24"/>
          <w:szCs w:val="24"/>
          <w:lang w:eastAsia="pt-PT"/>
        </w:rPr>
        <w:t>,</w:t>
      </w:r>
      <w:r w:rsidRPr="00D22FD8">
        <w:rPr>
          <w:rFonts w:ascii="Times New Roman" w:hAnsi="Times New Roman"/>
          <w:sz w:val="24"/>
          <w:szCs w:val="24"/>
          <w:lang w:eastAsia="pt-PT"/>
        </w:rPr>
        <w:t xml:space="preserve"> não encontra paralelo em qualquer outro país </w:t>
      </w:r>
      <w:r>
        <w:rPr>
          <w:rFonts w:ascii="Times New Roman" w:hAnsi="Times New Roman"/>
          <w:sz w:val="24"/>
          <w:szCs w:val="24"/>
          <w:lang w:eastAsia="pt-PT"/>
        </w:rPr>
        <w:t xml:space="preserve">africano (PNUD-Angola, 2002, p. </w:t>
      </w:r>
      <w:r w:rsidRPr="00D22FD8">
        <w:rPr>
          <w:rFonts w:ascii="Times New Roman" w:hAnsi="Times New Roman"/>
          <w:sz w:val="24"/>
          <w:szCs w:val="24"/>
          <w:lang w:eastAsia="pt-PT"/>
        </w:rPr>
        <w:t>80). Toman</w:t>
      </w:r>
      <w:r>
        <w:rPr>
          <w:rFonts w:ascii="Times New Roman" w:hAnsi="Times New Roman"/>
          <w:sz w:val="24"/>
          <w:szCs w:val="24"/>
          <w:lang w:eastAsia="pt-PT"/>
        </w:rPr>
        <w:t xml:space="preserve">do como comparação os países da </w:t>
      </w:r>
      <w:r w:rsidRPr="00D22FD8">
        <w:rPr>
          <w:rFonts w:ascii="Times New Roman" w:hAnsi="Times New Roman"/>
          <w:sz w:val="24"/>
          <w:szCs w:val="24"/>
          <w:lang w:eastAsia="pt-PT"/>
        </w:rPr>
        <w:t xml:space="preserve">Comunidade para o Desenvolvimento da África Austral </w:t>
      </w:r>
      <w:r>
        <w:rPr>
          <w:rFonts w:ascii="Times New Roman" w:hAnsi="Times New Roman"/>
          <w:sz w:val="24"/>
          <w:szCs w:val="24"/>
          <w:lang w:eastAsia="pt-PT"/>
        </w:rPr>
        <w:t>(</w:t>
      </w:r>
      <w:r w:rsidRPr="00D22FD8">
        <w:rPr>
          <w:rFonts w:ascii="Times New Roman" w:hAnsi="Times New Roman"/>
          <w:sz w:val="24"/>
          <w:szCs w:val="24"/>
          <w:lang w:eastAsia="pt-PT"/>
        </w:rPr>
        <w:t>SADC</w:t>
      </w:r>
      <w:r>
        <w:rPr>
          <w:rFonts w:ascii="Times New Roman" w:hAnsi="Times New Roman"/>
          <w:sz w:val="24"/>
          <w:szCs w:val="24"/>
          <w:lang w:eastAsia="pt-PT"/>
        </w:rPr>
        <w:t>)</w:t>
      </w:r>
      <w:r w:rsidRPr="00D22FD8">
        <w:rPr>
          <w:rStyle w:val="Refdenotadefim"/>
          <w:rFonts w:ascii="Times New Roman" w:hAnsi="Times New Roman"/>
          <w:sz w:val="24"/>
          <w:szCs w:val="24"/>
          <w:lang w:eastAsia="pt-PT"/>
        </w:rPr>
        <w:endnoteReference w:id="5"/>
      </w:r>
      <w:r>
        <w:rPr>
          <w:rFonts w:ascii="Times New Roman" w:hAnsi="Times New Roman"/>
          <w:sz w:val="24"/>
          <w:szCs w:val="24"/>
          <w:lang w:eastAsia="pt-PT"/>
        </w:rPr>
        <w:t xml:space="preserve">, </w:t>
      </w:r>
      <w:r w:rsidRPr="00D22FD8">
        <w:rPr>
          <w:rFonts w:ascii="Times New Roman" w:hAnsi="Times New Roman"/>
          <w:sz w:val="24"/>
          <w:szCs w:val="24"/>
          <w:lang w:eastAsia="pt-PT"/>
        </w:rPr>
        <w:t>verif</w:t>
      </w:r>
      <w:r>
        <w:rPr>
          <w:rFonts w:ascii="Times New Roman" w:hAnsi="Times New Roman"/>
          <w:sz w:val="24"/>
          <w:szCs w:val="24"/>
          <w:lang w:eastAsia="pt-PT"/>
        </w:rPr>
        <w:t>icamos que no período de 1997-</w:t>
      </w:r>
      <w:r w:rsidRPr="00D22FD8">
        <w:rPr>
          <w:rFonts w:ascii="Times New Roman" w:hAnsi="Times New Roman"/>
          <w:sz w:val="24"/>
          <w:szCs w:val="24"/>
          <w:lang w:eastAsia="pt-PT"/>
        </w:rPr>
        <w:t xml:space="preserve">2002, Angola apresentou o menor índice de investimento </w:t>
      </w:r>
      <w:r>
        <w:rPr>
          <w:rFonts w:ascii="Times New Roman" w:hAnsi="Times New Roman"/>
          <w:sz w:val="24"/>
          <w:szCs w:val="24"/>
          <w:lang w:eastAsia="pt-PT"/>
        </w:rPr>
        <w:t>em</w:t>
      </w:r>
      <w:r w:rsidRPr="00D22FD8">
        <w:rPr>
          <w:rFonts w:ascii="Times New Roman" w:hAnsi="Times New Roman"/>
          <w:sz w:val="24"/>
          <w:szCs w:val="24"/>
          <w:lang w:eastAsia="pt-PT"/>
        </w:rPr>
        <w:t xml:space="preserve"> educação com uma média de despesa de 4,7 por cento sendo que nos outros países, a média fo</w:t>
      </w:r>
      <w:r>
        <w:rPr>
          <w:rFonts w:ascii="Times New Roman" w:hAnsi="Times New Roman"/>
          <w:sz w:val="24"/>
          <w:szCs w:val="24"/>
          <w:lang w:eastAsia="pt-PT"/>
        </w:rPr>
        <w:t>i de 16,7 por cento (MICS, 2003, p.</w:t>
      </w:r>
      <w:r w:rsidRPr="00D22FD8">
        <w:rPr>
          <w:rFonts w:ascii="Times New Roman" w:hAnsi="Times New Roman"/>
          <w:sz w:val="24"/>
          <w:szCs w:val="24"/>
          <w:lang w:eastAsia="pt-PT"/>
        </w:rPr>
        <w:t xml:space="preserve"> 126). </w:t>
      </w:r>
    </w:p>
    <w:p w:rsidR="00B65464" w:rsidRPr="00D22FD8" w:rsidRDefault="00B65464" w:rsidP="00403CF3">
      <w:pPr>
        <w:spacing w:after="0" w:line="240" w:lineRule="auto"/>
        <w:ind w:firstLine="567"/>
        <w:jc w:val="both"/>
        <w:rPr>
          <w:rFonts w:ascii="Times New Roman" w:hAnsi="Times New Roman"/>
          <w:sz w:val="20"/>
          <w:szCs w:val="20"/>
          <w:lang w:eastAsia="pt-PT"/>
        </w:rPr>
      </w:pPr>
    </w:p>
    <w:p w:rsidR="00B65464" w:rsidRPr="00395E79" w:rsidRDefault="00B65464" w:rsidP="00403CF3">
      <w:pPr>
        <w:pStyle w:val="legendastese"/>
      </w:pPr>
      <w:r>
        <w:t xml:space="preserve">Figura 3 </w:t>
      </w:r>
      <w:r w:rsidRPr="00710F89">
        <w:t>Despesas públicas com o setor da educação</w:t>
      </w:r>
    </w:p>
    <w:p w:rsidR="00B65464" w:rsidRPr="00D22FD8" w:rsidRDefault="00B65464" w:rsidP="00403CF3">
      <w:pPr>
        <w:jc w:val="center"/>
      </w:pPr>
      <w:r w:rsidRPr="00D22FD8">
        <w:rPr>
          <w:noProof/>
          <w:lang w:val="pt-AO" w:eastAsia="pt-AO"/>
        </w:rPr>
        <w:drawing>
          <wp:inline distT="0" distB="0" distL="0" distR="0" wp14:anchorId="0B2C06C6" wp14:editId="330C7DBF">
            <wp:extent cx="4695825" cy="2105025"/>
            <wp:effectExtent l="19050" t="0" r="9525" b="0"/>
            <wp:docPr id="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5464" w:rsidRDefault="00B65464" w:rsidP="00A72425">
      <w:pPr>
        <w:spacing w:line="240" w:lineRule="auto"/>
        <w:ind w:firstLine="540"/>
        <w:jc w:val="both"/>
        <w:rPr>
          <w:rFonts w:ascii="Times New Roman" w:hAnsi="Times New Roman"/>
        </w:rPr>
      </w:pPr>
      <w:bookmarkStart w:id="60" w:name="_Toc321215114"/>
      <w:r w:rsidRPr="004370B7">
        <w:rPr>
          <w:rFonts w:ascii="Times New Roman" w:hAnsi="Times New Roman"/>
        </w:rPr>
        <w:t>Fonte</w:t>
      </w:r>
      <w:r>
        <w:rPr>
          <w:rFonts w:ascii="Times New Roman" w:hAnsi="Times New Roman"/>
        </w:rPr>
        <w:t>: baseado em MICS (2003, p.</w:t>
      </w:r>
      <w:r w:rsidRPr="00395E79">
        <w:rPr>
          <w:rFonts w:ascii="Times New Roman" w:hAnsi="Times New Roman"/>
        </w:rPr>
        <w:t>126) e Viny</w:t>
      </w:r>
      <w:r>
        <w:rPr>
          <w:rFonts w:ascii="Times New Roman" w:hAnsi="Times New Roman"/>
        </w:rPr>
        <w:t>als (2002, p.</w:t>
      </w:r>
      <w:r w:rsidRPr="00395E79">
        <w:rPr>
          <w:rFonts w:ascii="Times New Roman" w:hAnsi="Times New Roman"/>
        </w:rPr>
        <w:t xml:space="preserve"> 33)</w:t>
      </w:r>
      <w:bookmarkEnd w:id="60"/>
    </w:p>
    <w:p w:rsidR="00B65464" w:rsidRPr="00395E79" w:rsidRDefault="00B65464" w:rsidP="00A72425">
      <w:pPr>
        <w:spacing w:line="240" w:lineRule="auto"/>
        <w:ind w:firstLine="540"/>
        <w:jc w:val="both"/>
        <w:rPr>
          <w:rFonts w:ascii="Times New Roman" w:hAnsi="Times New Roman"/>
        </w:rPr>
      </w:pPr>
      <w:r>
        <w:rPr>
          <w:rFonts w:ascii="Times New Roman" w:hAnsi="Times New Roman"/>
        </w:rPr>
        <w:t>Elaboração da autora</w:t>
      </w:r>
    </w:p>
    <w:p w:rsidR="00B65464" w:rsidRPr="00D22FD8" w:rsidRDefault="00B65464" w:rsidP="00403CF3">
      <w:pPr>
        <w:pStyle w:val="Quadros"/>
        <w:ind w:firstLine="567"/>
        <w:rPr>
          <w:sz w:val="20"/>
          <w:szCs w:val="20"/>
        </w:rPr>
      </w:pPr>
    </w:p>
    <w:p w:rsidR="00B65464" w:rsidRPr="00D22FD8" w:rsidRDefault="00B65464" w:rsidP="00E21D72">
      <w:pPr>
        <w:pStyle w:val="Quadros"/>
        <w:spacing w:line="360" w:lineRule="auto"/>
        <w:ind w:firstLine="900"/>
        <w:rPr>
          <w:sz w:val="24"/>
          <w:szCs w:val="24"/>
        </w:rPr>
      </w:pPr>
      <w:r w:rsidRPr="00D22FD8">
        <w:rPr>
          <w:sz w:val="24"/>
          <w:szCs w:val="24"/>
        </w:rPr>
        <w:t xml:space="preserve">Terminada a guerra, as despesas direcionadas para a defesa deixam de ser prioritárias, assumindo outros setores esse protagonismo. </w:t>
      </w:r>
      <w:r>
        <w:rPr>
          <w:sz w:val="24"/>
          <w:szCs w:val="24"/>
        </w:rPr>
        <w:t xml:space="preserve">Desde então, </w:t>
      </w:r>
      <w:r w:rsidRPr="00D22FD8">
        <w:rPr>
          <w:sz w:val="24"/>
          <w:szCs w:val="24"/>
        </w:rPr>
        <w:t xml:space="preserve">tem-se verificado um </w:t>
      </w:r>
      <w:r>
        <w:rPr>
          <w:sz w:val="24"/>
          <w:szCs w:val="24"/>
        </w:rPr>
        <w:t>“crescimento do investimento do Estado nas áreas sociais, materializado no aumento verificado nos últimos dois anos nas dotações orçamentais para a saúde, educação e intervenção comunitária” (LOPES, 2011, p. 47)</w:t>
      </w:r>
      <w:r w:rsidRPr="00D22FD8">
        <w:rPr>
          <w:sz w:val="24"/>
          <w:szCs w:val="24"/>
        </w:rPr>
        <w:t xml:space="preserve">. De acordo com dados do Ministério das </w:t>
      </w:r>
      <w:r w:rsidRPr="00D22FD8">
        <w:rPr>
          <w:sz w:val="24"/>
          <w:szCs w:val="24"/>
        </w:rPr>
        <w:lastRenderedPageBreak/>
        <w:t>Finanças de Angola</w:t>
      </w:r>
      <w:r w:rsidRPr="00D22FD8">
        <w:rPr>
          <w:rStyle w:val="Refdenotadefim"/>
          <w:sz w:val="24"/>
          <w:szCs w:val="24"/>
        </w:rPr>
        <w:endnoteReference w:id="6"/>
      </w:r>
      <w:r w:rsidRPr="00D22FD8">
        <w:rPr>
          <w:sz w:val="24"/>
          <w:szCs w:val="24"/>
        </w:rPr>
        <w:t>, a evolução da proporção das despesas com o setor social (na qual se inclui a educação) entre 2007 e 2010</w:t>
      </w:r>
      <w:r>
        <w:rPr>
          <w:sz w:val="24"/>
          <w:szCs w:val="24"/>
        </w:rPr>
        <w:t xml:space="preserve"> foi a seguinte:</w:t>
      </w:r>
    </w:p>
    <w:p w:rsidR="00B65464" w:rsidRPr="00D22FD8" w:rsidRDefault="00B65464" w:rsidP="00403CF3">
      <w:pPr>
        <w:pStyle w:val="Quadros"/>
        <w:ind w:firstLine="567"/>
        <w:rPr>
          <w:sz w:val="20"/>
          <w:szCs w:val="20"/>
        </w:rPr>
      </w:pPr>
    </w:p>
    <w:p w:rsidR="00B65464" w:rsidRPr="00395E79" w:rsidRDefault="002C2599" w:rsidP="00403CF3">
      <w:pPr>
        <w:pStyle w:val="legendastese"/>
      </w:pPr>
      <w:bookmarkStart w:id="61" w:name="_Toc321218234"/>
      <w:r>
        <w:t xml:space="preserve">Quadro </w:t>
      </w:r>
      <w:r w:rsidR="00B65464">
        <w:t xml:space="preserve">3. </w:t>
      </w:r>
      <w:r w:rsidR="00B65464" w:rsidRPr="00B207DC">
        <w:t xml:space="preserve">Proporção das </w:t>
      </w:r>
      <w:r w:rsidR="00B65464">
        <w:t>despesas do E</w:t>
      </w:r>
      <w:r w:rsidR="00B65464" w:rsidRPr="00B207DC">
        <w:t>stado angolano com o setor social (2007-2010)</w:t>
      </w:r>
      <w:bookmarkEnd w:id="61"/>
    </w:p>
    <w:tbl>
      <w:tblPr>
        <w:tblStyle w:val="Tabelacomgrelha"/>
        <w:tblW w:w="0" w:type="auto"/>
        <w:jc w:val="center"/>
        <w:tblLook w:val="04A0" w:firstRow="1" w:lastRow="0" w:firstColumn="1" w:lastColumn="0" w:noHBand="0" w:noVBand="1"/>
      </w:tblPr>
      <w:tblGrid>
        <w:gridCol w:w="1101"/>
        <w:gridCol w:w="2409"/>
      </w:tblGrid>
      <w:tr w:rsidR="00B65464" w:rsidRPr="00395E79" w:rsidTr="00403CF3">
        <w:trPr>
          <w:jc w:val="center"/>
        </w:trPr>
        <w:tc>
          <w:tcPr>
            <w:tcW w:w="1101" w:type="dxa"/>
            <w:shd w:val="clear" w:color="auto" w:fill="808080" w:themeFill="background1" w:themeFillShade="80"/>
          </w:tcPr>
          <w:p w:rsidR="00B65464" w:rsidRPr="00395E79" w:rsidRDefault="00B65464" w:rsidP="00403CF3">
            <w:pPr>
              <w:pStyle w:val="Quadros"/>
              <w:jc w:val="center"/>
              <w:rPr>
                <w:b/>
              </w:rPr>
            </w:pPr>
            <w:r w:rsidRPr="00395E79">
              <w:rPr>
                <w:b/>
              </w:rPr>
              <w:t>Ano</w:t>
            </w:r>
          </w:p>
        </w:tc>
        <w:tc>
          <w:tcPr>
            <w:tcW w:w="2409" w:type="dxa"/>
            <w:shd w:val="clear" w:color="auto" w:fill="808080" w:themeFill="background1" w:themeFillShade="80"/>
          </w:tcPr>
          <w:p w:rsidR="00B65464" w:rsidRPr="00395E79" w:rsidRDefault="00B65464" w:rsidP="00403CF3">
            <w:pPr>
              <w:pStyle w:val="Quadros"/>
              <w:jc w:val="center"/>
              <w:rPr>
                <w:b/>
              </w:rPr>
            </w:pPr>
            <w:r w:rsidRPr="00395E79">
              <w:rPr>
                <w:b/>
              </w:rPr>
              <w:t>Despesa Setor Social</w:t>
            </w:r>
          </w:p>
        </w:tc>
      </w:tr>
      <w:tr w:rsidR="00B65464" w:rsidRPr="00395E79" w:rsidTr="00403CF3">
        <w:trPr>
          <w:jc w:val="center"/>
        </w:trPr>
        <w:tc>
          <w:tcPr>
            <w:tcW w:w="1101" w:type="dxa"/>
          </w:tcPr>
          <w:p w:rsidR="00B65464" w:rsidRPr="00395E79" w:rsidRDefault="00B65464" w:rsidP="00403CF3">
            <w:pPr>
              <w:pStyle w:val="Quadros"/>
              <w:jc w:val="center"/>
            </w:pPr>
            <w:r w:rsidRPr="00395E79">
              <w:t>2007</w:t>
            </w:r>
          </w:p>
        </w:tc>
        <w:tc>
          <w:tcPr>
            <w:tcW w:w="2409" w:type="dxa"/>
          </w:tcPr>
          <w:p w:rsidR="00B65464" w:rsidRPr="00395E79" w:rsidRDefault="00B65464" w:rsidP="00403CF3">
            <w:pPr>
              <w:pStyle w:val="Quadros"/>
              <w:jc w:val="center"/>
            </w:pPr>
            <w:r>
              <w:t>30,6</w:t>
            </w:r>
            <w:r w:rsidRPr="00395E79">
              <w:t>%</w:t>
            </w:r>
          </w:p>
        </w:tc>
      </w:tr>
      <w:tr w:rsidR="00B65464" w:rsidRPr="00395E79" w:rsidTr="00403CF3">
        <w:trPr>
          <w:jc w:val="center"/>
        </w:trPr>
        <w:tc>
          <w:tcPr>
            <w:tcW w:w="1101" w:type="dxa"/>
          </w:tcPr>
          <w:p w:rsidR="00B65464" w:rsidRPr="00395E79" w:rsidRDefault="00B65464" w:rsidP="00403CF3">
            <w:pPr>
              <w:pStyle w:val="Quadros"/>
              <w:jc w:val="center"/>
            </w:pPr>
            <w:r w:rsidRPr="00395E79">
              <w:t>2008</w:t>
            </w:r>
          </w:p>
        </w:tc>
        <w:tc>
          <w:tcPr>
            <w:tcW w:w="2409" w:type="dxa"/>
          </w:tcPr>
          <w:p w:rsidR="00B65464" w:rsidRPr="00395E79" w:rsidRDefault="00B65464" w:rsidP="00403CF3">
            <w:pPr>
              <w:pStyle w:val="Quadros"/>
              <w:jc w:val="center"/>
            </w:pPr>
            <w:r w:rsidRPr="00395E79">
              <w:t>28,8%</w:t>
            </w:r>
          </w:p>
        </w:tc>
      </w:tr>
      <w:tr w:rsidR="00B65464" w:rsidRPr="00395E79" w:rsidTr="00403CF3">
        <w:trPr>
          <w:jc w:val="center"/>
        </w:trPr>
        <w:tc>
          <w:tcPr>
            <w:tcW w:w="1101" w:type="dxa"/>
          </w:tcPr>
          <w:p w:rsidR="00B65464" w:rsidRPr="00395E79" w:rsidRDefault="00B65464" w:rsidP="00403CF3">
            <w:pPr>
              <w:pStyle w:val="Quadros"/>
              <w:jc w:val="center"/>
            </w:pPr>
            <w:r w:rsidRPr="00395E79">
              <w:t>2009</w:t>
            </w:r>
          </w:p>
        </w:tc>
        <w:tc>
          <w:tcPr>
            <w:tcW w:w="2409" w:type="dxa"/>
          </w:tcPr>
          <w:p w:rsidR="00B65464" w:rsidRPr="00395E79" w:rsidRDefault="00B65464" w:rsidP="00403CF3">
            <w:pPr>
              <w:pStyle w:val="Quadros"/>
              <w:jc w:val="center"/>
            </w:pPr>
            <w:r w:rsidRPr="00395E79">
              <w:t>31,6%</w:t>
            </w:r>
          </w:p>
        </w:tc>
      </w:tr>
      <w:tr w:rsidR="00B65464" w:rsidRPr="00395E79" w:rsidTr="00403CF3">
        <w:trPr>
          <w:jc w:val="center"/>
        </w:trPr>
        <w:tc>
          <w:tcPr>
            <w:tcW w:w="1101" w:type="dxa"/>
          </w:tcPr>
          <w:p w:rsidR="00B65464" w:rsidRPr="00395E79" w:rsidRDefault="00B65464" w:rsidP="00403CF3">
            <w:pPr>
              <w:pStyle w:val="Quadros"/>
              <w:jc w:val="center"/>
            </w:pPr>
            <w:r w:rsidRPr="00395E79">
              <w:t>2010</w:t>
            </w:r>
          </w:p>
        </w:tc>
        <w:tc>
          <w:tcPr>
            <w:tcW w:w="2409" w:type="dxa"/>
          </w:tcPr>
          <w:p w:rsidR="00B65464" w:rsidRPr="00395E79" w:rsidRDefault="00B65464" w:rsidP="00403CF3">
            <w:pPr>
              <w:pStyle w:val="Quadros"/>
              <w:jc w:val="center"/>
            </w:pPr>
            <w:r w:rsidRPr="00395E79">
              <w:t>30,5%</w:t>
            </w:r>
          </w:p>
        </w:tc>
      </w:tr>
    </w:tbl>
    <w:p w:rsidR="00B65464" w:rsidRPr="00D22FD8" w:rsidRDefault="00B65464" w:rsidP="00403CF3">
      <w:pPr>
        <w:pStyle w:val="Quadros"/>
        <w:jc w:val="center"/>
        <w:rPr>
          <w:b/>
          <w:sz w:val="20"/>
          <w:szCs w:val="20"/>
        </w:rPr>
      </w:pPr>
      <w:r w:rsidRPr="004370B7">
        <w:t>Fonte</w:t>
      </w:r>
      <w:r w:rsidRPr="00395E79">
        <w:rPr>
          <w:b/>
        </w:rPr>
        <w:t xml:space="preserve">: </w:t>
      </w:r>
      <w:r w:rsidRPr="00395E79">
        <w:t>Minfin (2011</w:t>
      </w:r>
      <w:r w:rsidRPr="00D22FD8">
        <w:rPr>
          <w:sz w:val="20"/>
          <w:szCs w:val="20"/>
        </w:rPr>
        <w:t>)</w:t>
      </w:r>
    </w:p>
    <w:p w:rsidR="00B65464" w:rsidRPr="00D22FD8" w:rsidRDefault="00B65464" w:rsidP="00403CF3">
      <w:pPr>
        <w:pStyle w:val="Quadros"/>
        <w:rPr>
          <w:b/>
        </w:rPr>
      </w:pPr>
    </w:p>
    <w:p w:rsidR="00B65464" w:rsidRPr="00D22FD8" w:rsidRDefault="00B65464" w:rsidP="00403CF3">
      <w:pPr>
        <w:spacing w:after="0" w:line="240" w:lineRule="auto"/>
        <w:ind w:firstLine="540"/>
        <w:jc w:val="both"/>
        <w:rPr>
          <w:rFonts w:ascii="Times New Roman" w:hAnsi="Times New Roman"/>
          <w:sz w:val="20"/>
          <w:szCs w:val="20"/>
          <w:lang w:eastAsia="pt-PT"/>
        </w:rPr>
      </w:pPr>
    </w:p>
    <w:p w:rsidR="00B65464" w:rsidRPr="00D22FD8" w:rsidRDefault="00B65464" w:rsidP="00E21D72">
      <w:pPr>
        <w:spacing w:after="0" w:line="360" w:lineRule="auto"/>
        <w:ind w:firstLine="900"/>
        <w:jc w:val="both"/>
        <w:rPr>
          <w:rFonts w:ascii="Times New Roman" w:hAnsi="Times New Roman"/>
          <w:sz w:val="24"/>
          <w:szCs w:val="24"/>
          <w:lang w:eastAsia="pt-PT"/>
        </w:rPr>
      </w:pPr>
      <w:r w:rsidRPr="001A7D9B">
        <w:rPr>
          <w:rFonts w:ascii="Times New Roman" w:hAnsi="Times New Roman"/>
          <w:sz w:val="24"/>
          <w:szCs w:val="24"/>
        </w:rPr>
        <w:t>Em relação às bolsas de estudo externas, verifica-se a sua continuidade, embora em parâmetros diferentes. Isto é, são enviados estudantes para o estrangeiro somente para áreas de estudo não disponíveis em Angola, ou</w:t>
      </w:r>
      <w:r w:rsidRPr="00D22FD8">
        <w:rPr>
          <w:rFonts w:ascii="Times New Roman" w:hAnsi="Times New Roman"/>
          <w:sz w:val="24"/>
          <w:szCs w:val="24"/>
        </w:rPr>
        <w:t xml:space="preserve"> como complemento da formação já obtida (pós-graduação, mestrado, doutoramento). Em 2008</w:t>
      </w:r>
      <w:r w:rsidR="005156FB" w:rsidRPr="005156FB">
        <w:rPr>
          <w:rFonts w:ascii="Times New Roman" w:hAnsi="Times New Roman"/>
          <w:color w:val="FF0000"/>
          <w:sz w:val="24"/>
          <w:szCs w:val="24"/>
        </w:rPr>
        <w:t>,</w:t>
      </w:r>
      <w:r w:rsidRPr="005156FB">
        <w:rPr>
          <w:rFonts w:ascii="Times New Roman" w:hAnsi="Times New Roman"/>
          <w:color w:val="FF0000"/>
          <w:sz w:val="24"/>
          <w:szCs w:val="24"/>
        </w:rPr>
        <w:t xml:space="preserve"> </w:t>
      </w:r>
      <w:r w:rsidRPr="00D22FD8">
        <w:rPr>
          <w:rFonts w:ascii="Times New Roman" w:hAnsi="Times New Roman"/>
          <w:sz w:val="24"/>
          <w:szCs w:val="24"/>
        </w:rPr>
        <w:t>o INABE apoiava 1</w:t>
      </w:r>
      <w:r>
        <w:rPr>
          <w:rFonts w:ascii="Times New Roman" w:hAnsi="Times New Roman"/>
          <w:sz w:val="24"/>
          <w:szCs w:val="24"/>
        </w:rPr>
        <w:t>.</w:t>
      </w:r>
      <w:r w:rsidRPr="00D22FD8">
        <w:rPr>
          <w:rFonts w:ascii="Times New Roman" w:hAnsi="Times New Roman"/>
          <w:sz w:val="24"/>
          <w:szCs w:val="24"/>
        </w:rPr>
        <w:t>316 bolseiros no exterior, número que aumentou para 2000 em 2009</w:t>
      </w:r>
      <w:r>
        <w:rPr>
          <w:rStyle w:val="Refdenotadefim"/>
          <w:rFonts w:ascii="Times New Roman" w:hAnsi="Times New Roman"/>
          <w:sz w:val="24"/>
          <w:szCs w:val="24"/>
        </w:rPr>
        <w:endnoteReference w:id="7"/>
      </w:r>
      <w:r>
        <w:rPr>
          <w:rFonts w:ascii="Times New Roman" w:hAnsi="Times New Roman"/>
          <w:sz w:val="24"/>
          <w:szCs w:val="24"/>
        </w:rPr>
        <w:t xml:space="preserve">. </w:t>
      </w:r>
      <w:r w:rsidRPr="00D22FD8">
        <w:rPr>
          <w:rFonts w:ascii="Times New Roman" w:hAnsi="Times New Roman"/>
          <w:sz w:val="24"/>
          <w:szCs w:val="24"/>
        </w:rPr>
        <w:t>Esse aumento deve-se ao “incremento das bolsas de estudo oferecidas pelos países com os quais Angola tem acordos de cooperação no domínio do ensino superior e</w:t>
      </w:r>
      <w:r>
        <w:rPr>
          <w:rFonts w:ascii="Times New Roman" w:hAnsi="Times New Roman"/>
          <w:sz w:val="24"/>
          <w:szCs w:val="24"/>
        </w:rPr>
        <w:t xml:space="preserve"> para</w:t>
      </w:r>
      <w:r w:rsidRPr="00D22FD8">
        <w:rPr>
          <w:rFonts w:ascii="Times New Roman" w:hAnsi="Times New Roman"/>
          <w:sz w:val="24"/>
          <w:szCs w:val="24"/>
        </w:rPr>
        <w:t xml:space="preserve"> formação de quadros bem como </w:t>
      </w:r>
      <w:r>
        <w:rPr>
          <w:rFonts w:ascii="Times New Roman" w:hAnsi="Times New Roman"/>
          <w:sz w:val="24"/>
          <w:szCs w:val="24"/>
        </w:rPr>
        <w:t xml:space="preserve">para </w:t>
      </w:r>
      <w:r w:rsidRPr="00D22FD8">
        <w:rPr>
          <w:rFonts w:ascii="Times New Roman" w:hAnsi="Times New Roman"/>
          <w:sz w:val="24"/>
          <w:szCs w:val="24"/>
        </w:rPr>
        <w:t>a implementação de programas específicos”</w:t>
      </w:r>
      <w:r w:rsidRPr="00D22FD8">
        <w:rPr>
          <w:rStyle w:val="Refdenotadefim"/>
          <w:rFonts w:ascii="Times New Roman" w:hAnsi="Times New Roman"/>
          <w:sz w:val="24"/>
          <w:szCs w:val="24"/>
        </w:rPr>
        <w:endnoteReference w:id="8"/>
      </w:r>
      <w:r>
        <w:rPr>
          <w:rFonts w:ascii="Times New Roman" w:hAnsi="Times New Roman"/>
          <w:sz w:val="24"/>
          <w:szCs w:val="24"/>
        </w:rPr>
        <w:t>. Daí que a ordenação por</w:t>
      </w:r>
      <w:r w:rsidRPr="00D22FD8">
        <w:rPr>
          <w:rFonts w:ascii="Times New Roman" w:hAnsi="Times New Roman"/>
          <w:sz w:val="24"/>
          <w:szCs w:val="24"/>
        </w:rPr>
        <w:t xml:space="preserve"> importância dos países para onde são enviados os estudantes seja a seguinte</w:t>
      </w:r>
      <w:r>
        <w:rPr>
          <w:rFonts w:ascii="Times New Roman" w:hAnsi="Times New Roman"/>
          <w:sz w:val="24"/>
          <w:szCs w:val="24"/>
        </w:rPr>
        <w:t xml:space="preserve"> (ordenação referente ao ano de 2010)</w:t>
      </w:r>
      <w:r w:rsidRPr="00D22FD8">
        <w:rPr>
          <w:rFonts w:ascii="Times New Roman" w:hAnsi="Times New Roman"/>
          <w:sz w:val="24"/>
          <w:szCs w:val="24"/>
        </w:rPr>
        <w:t xml:space="preserve">:  </w:t>
      </w:r>
    </w:p>
    <w:p w:rsidR="00B65464" w:rsidRDefault="00B65464" w:rsidP="00403CF3">
      <w:pPr>
        <w:spacing w:after="0" w:line="240" w:lineRule="auto"/>
        <w:rPr>
          <w:rFonts w:eastAsia="SimSun"/>
          <w:b/>
          <w:bCs/>
          <w:color w:val="4F81BD"/>
          <w:sz w:val="18"/>
          <w:szCs w:val="18"/>
          <w:lang w:eastAsia="zh-CN"/>
        </w:rPr>
      </w:pPr>
      <w:bookmarkStart w:id="62" w:name="_Toc321218235"/>
    </w:p>
    <w:p w:rsidR="00B65464" w:rsidRPr="00E94733" w:rsidRDefault="00B65464" w:rsidP="00403CF3">
      <w:pPr>
        <w:pStyle w:val="legendastese"/>
      </w:pPr>
      <w:r>
        <w:t xml:space="preserve">Quadro 4. </w:t>
      </w:r>
      <w:r w:rsidRPr="006C4E3E">
        <w:t>Países para onde são envia</w:t>
      </w:r>
      <w:r>
        <w:t>dos os estudantes bolseiros do E</w:t>
      </w:r>
      <w:r w:rsidRPr="006C4E3E">
        <w:t>stado Angolano e sua ordem de importância</w:t>
      </w:r>
      <w:bookmarkEnd w:id="62"/>
    </w:p>
    <w:tbl>
      <w:tblPr>
        <w:tblStyle w:val="Tabelacomgrelha"/>
        <w:tblW w:w="0" w:type="auto"/>
        <w:jc w:val="center"/>
        <w:tblLook w:val="04A0" w:firstRow="1" w:lastRow="0" w:firstColumn="1" w:lastColumn="0" w:noHBand="0" w:noVBand="1"/>
      </w:tblPr>
      <w:tblGrid>
        <w:gridCol w:w="959"/>
        <w:gridCol w:w="1417"/>
      </w:tblGrid>
      <w:tr w:rsidR="00B65464" w:rsidRPr="00E94733" w:rsidTr="00403CF3">
        <w:trPr>
          <w:jc w:val="center"/>
        </w:trPr>
        <w:tc>
          <w:tcPr>
            <w:tcW w:w="959" w:type="dxa"/>
            <w:shd w:val="clear" w:color="auto" w:fill="A6A6A6" w:themeFill="background1" w:themeFillShade="A6"/>
          </w:tcPr>
          <w:p w:rsidR="00B65464" w:rsidRPr="00E94733" w:rsidRDefault="00B65464" w:rsidP="00403CF3">
            <w:pPr>
              <w:pStyle w:val="Quadros"/>
              <w:jc w:val="center"/>
              <w:rPr>
                <w:b/>
              </w:rPr>
            </w:pPr>
            <w:r w:rsidRPr="00E94733">
              <w:rPr>
                <w:b/>
              </w:rPr>
              <w:t>Ordem</w:t>
            </w:r>
          </w:p>
        </w:tc>
        <w:tc>
          <w:tcPr>
            <w:tcW w:w="1417" w:type="dxa"/>
            <w:shd w:val="clear" w:color="auto" w:fill="A6A6A6" w:themeFill="background1" w:themeFillShade="A6"/>
          </w:tcPr>
          <w:p w:rsidR="00B65464" w:rsidRPr="00E94733" w:rsidRDefault="00B65464" w:rsidP="00403CF3">
            <w:pPr>
              <w:pStyle w:val="Quadros"/>
              <w:jc w:val="center"/>
              <w:rPr>
                <w:b/>
              </w:rPr>
            </w:pPr>
            <w:r w:rsidRPr="00E94733">
              <w:rPr>
                <w:b/>
              </w:rPr>
              <w:t>Países</w:t>
            </w:r>
          </w:p>
        </w:tc>
      </w:tr>
      <w:tr w:rsidR="00B65464" w:rsidRPr="00E94733" w:rsidTr="00403CF3">
        <w:trPr>
          <w:jc w:val="center"/>
        </w:trPr>
        <w:tc>
          <w:tcPr>
            <w:tcW w:w="959" w:type="dxa"/>
          </w:tcPr>
          <w:p w:rsidR="00B65464" w:rsidRPr="00E94733" w:rsidRDefault="00B65464" w:rsidP="00403CF3">
            <w:pPr>
              <w:pStyle w:val="Quadros"/>
              <w:jc w:val="center"/>
            </w:pPr>
            <w:r w:rsidRPr="00E94733">
              <w:t>1º</w:t>
            </w:r>
          </w:p>
        </w:tc>
        <w:tc>
          <w:tcPr>
            <w:tcW w:w="1417" w:type="dxa"/>
          </w:tcPr>
          <w:p w:rsidR="00B65464" w:rsidRPr="00E94733" w:rsidRDefault="00B65464" w:rsidP="00403CF3">
            <w:pPr>
              <w:pStyle w:val="Quadros"/>
              <w:jc w:val="center"/>
            </w:pPr>
            <w:r w:rsidRPr="00E94733">
              <w:t>Rússia</w:t>
            </w:r>
          </w:p>
        </w:tc>
      </w:tr>
      <w:tr w:rsidR="00B65464" w:rsidRPr="00E94733" w:rsidTr="00403CF3">
        <w:trPr>
          <w:jc w:val="center"/>
        </w:trPr>
        <w:tc>
          <w:tcPr>
            <w:tcW w:w="959" w:type="dxa"/>
          </w:tcPr>
          <w:p w:rsidR="00B65464" w:rsidRPr="00E94733" w:rsidRDefault="00B65464" w:rsidP="00403CF3">
            <w:pPr>
              <w:pStyle w:val="Quadros"/>
              <w:jc w:val="center"/>
            </w:pPr>
            <w:r w:rsidRPr="00E94733">
              <w:t>2º</w:t>
            </w:r>
          </w:p>
        </w:tc>
        <w:tc>
          <w:tcPr>
            <w:tcW w:w="1417" w:type="dxa"/>
          </w:tcPr>
          <w:p w:rsidR="00B65464" w:rsidRPr="00E94733" w:rsidRDefault="00B65464" w:rsidP="00403CF3">
            <w:pPr>
              <w:pStyle w:val="Quadros"/>
              <w:jc w:val="center"/>
            </w:pPr>
            <w:r w:rsidRPr="00E94733">
              <w:t>Argélia</w:t>
            </w:r>
          </w:p>
        </w:tc>
      </w:tr>
      <w:tr w:rsidR="00B65464" w:rsidRPr="00E94733" w:rsidTr="00403CF3">
        <w:trPr>
          <w:jc w:val="center"/>
        </w:trPr>
        <w:tc>
          <w:tcPr>
            <w:tcW w:w="959" w:type="dxa"/>
          </w:tcPr>
          <w:p w:rsidR="00B65464" w:rsidRPr="00E94733" w:rsidRDefault="00B65464" w:rsidP="00403CF3">
            <w:pPr>
              <w:pStyle w:val="Quadros"/>
              <w:jc w:val="center"/>
            </w:pPr>
            <w:r w:rsidRPr="00E94733">
              <w:t>3º</w:t>
            </w:r>
          </w:p>
        </w:tc>
        <w:tc>
          <w:tcPr>
            <w:tcW w:w="1417" w:type="dxa"/>
          </w:tcPr>
          <w:p w:rsidR="00B65464" w:rsidRPr="00E94733" w:rsidRDefault="00B65464" w:rsidP="00403CF3">
            <w:pPr>
              <w:pStyle w:val="Quadros"/>
              <w:jc w:val="center"/>
            </w:pPr>
            <w:r w:rsidRPr="00E94733">
              <w:t>Cuba</w:t>
            </w:r>
          </w:p>
        </w:tc>
      </w:tr>
      <w:tr w:rsidR="00B65464" w:rsidRPr="00E94733" w:rsidTr="0054266C">
        <w:trPr>
          <w:jc w:val="center"/>
        </w:trPr>
        <w:tc>
          <w:tcPr>
            <w:tcW w:w="959" w:type="dxa"/>
            <w:shd w:val="clear" w:color="auto" w:fill="auto"/>
          </w:tcPr>
          <w:p w:rsidR="00B65464" w:rsidRPr="00E94733" w:rsidRDefault="00B65464" w:rsidP="00403CF3">
            <w:pPr>
              <w:pStyle w:val="Quadros"/>
              <w:jc w:val="center"/>
            </w:pPr>
            <w:r w:rsidRPr="00E94733">
              <w:t>4º</w:t>
            </w:r>
          </w:p>
        </w:tc>
        <w:tc>
          <w:tcPr>
            <w:tcW w:w="1417" w:type="dxa"/>
            <w:shd w:val="clear" w:color="auto" w:fill="auto"/>
          </w:tcPr>
          <w:p w:rsidR="00B65464" w:rsidRPr="00E94733" w:rsidRDefault="00B65464" w:rsidP="00403CF3">
            <w:pPr>
              <w:pStyle w:val="Quadros"/>
              <w:jc w:val="center"/>
            </w:pPr>
            <w:r w:rsidRPr="00E94733">
              <w:t>Portugal</w:t>
            </w:r>
          </w:p>
        </w:tc>
      </w:tr>
      <w:tr w:rsidR="00B65464" w:rsidRPr="00E94733" w:rsidTr="0054266C">
        <w:trPr>
          <w:jc w:val="center"/>
        </w:trPr>
        <w:tc>
          <w:tcPr>
            <w:tcW w:w="959" w:type="dxa"/>
            <w:shd w:val="clear" w:color="auto" w:fill="auto"/>
          </w:tcPr>
          <w:p w:rsidR="00B65464" w:rsidRPr="00E94733" w:rsidRDefault="00B65464" w:rsidP="00403CF3">
            <w:pPr>
              <w:pStyle w:val="Quadros"/>
              <w:jc w:val="center"/>
            </w:pPr>
            <w:r w:rsidRPr="00E94733">
              <w:t>5º</w:t>
            </w:r>
          </w:p>
        </w:tc>
        <w:tc>
          <w:tcPr>
            <w:tcW w:w="1417" w:type="dxa"/>
            <w:shd w:val="clear" w:color="auto" w:fill="auto"/>
          </w:tcPr>
          <w:p w:rsidR="00B65464" w:rsidRPr="00E94733" w:rsidRDefault="00B65464" w:rsidP="00403CF3">
            <w:pPr>
              <w:pStyle w:val="Quadros"/>
              <w:jc w:val="center"/>
            </w:pPr>
            <w:r w:rsidRPr="00E94733">
              <w:t>Brasil</w:t>
            </w:r>
          </w:p>
        </w:tc>
      </w:tr>
      <w:tr w:rsidR="00B65464" w:rsidRPr="00E94733" w:rsidTr="00403CF3">
        <w:trPr>
          <w:jc w:val="center"/>
        </w:trPr>
        <w:tc>
          <w:tcPr>
            <w:tcW w:w="959" w:type="dxa"/>
          </w:tcPr>
          <w:p w:rsidR="00B65464" w:rsidRPr="00E94733" w:rsidRDefault="00B65464" w:rsidP="00403CF3">
            <w:pPr>
              <w:pStyle w:val="Quadros"/>
              <w:jc w:val="center"/>
            </w:pPr>
            <w:r w:rsidRPr="00E94733">
              <w:t>6º</w:t>
            </w:r>
          </w:p>
        </w:tc>
        <w:tc>
          <w:tcPr>
            <w:tcW w:w="1417" w:type="dxa"/>
          </w:tcPr>
          <w:p w:rsidR="00B65464" w:rsidRPr="00E94733" w:rsidRDefault="00B65464" w:rsidP="00403CF3">
            <w:pPr>
              <w:pStyle w:val="Quadros"/>
              <w:jc w:val="center"/>
            </w:pPr>
            <w:r w:rsidRPr="00E94733">
              <w:t>Polónia</w:t>
            </w:r>
          </w:p>
        </w:tc>
      </w:tr>
      <w:tr w:rsidR="00B65464" w:rsidRPr="00E94733" w:rsidTr="00403CF3">
        <w:trPr>
          <w:jc w:val="center"/>
        </w:trPr>
        <w:tc>
          <w:tcPr>
            <w:tcW w:w="959" w:type="dxa"/>
          </w:tcPr>
          <w:p w:rsidR="00B65464" w:rsidRPr="00E94733" w:rsidRDefault="00B65464" w:rsidP="00403CF3">
            <w:pPr>
              <w:pStyle w:val="Quadros"/>
              <w:jc w:val="center"/>
            </w:pPr>
            <w:r w:rsidRPr="00E94733">
              <w:t>7º</w:t>
            </w:r>
          </w:p>
        </w:tc>
        <w:tc>
          <w:tcPr>
            <w:tcW w:w="1417" w:type="dxa"/>
          </w:tcPr>
          <w:p w:rsidR="00B65464" w:rsidRPr="00E94733" w:rsidRDefault="00B65464" w:rsidP="00403CF3">
            <w:pPr>
              <w:pStyle w:val="Quadros"/>
              <w:jc w:val="center"/>
            </w:pPr>
            <w:r w:rsidRPr="00E94733">
              <w:t>África do Sul</w:t>
            </w:r>
          </w:p>
        </w:tc>
      </w:tr>
      <w:tr w:rsidR="00B65464" w:rsidRPr="00E94733" w:rsidTr="00403CF3">
        <w:trPr>
          <w:jc w:val="center"/>
        </w:trPr>
        <w:tc>
          <w:tcPr>
            <w:tcW w:w="959" w:type="dxa"/>
          </w:tcPr>
          <w:p w:rsidR="00B65464" w:rsidRPr="00E94733" w:rsidRDefault="00B65464" w:rsidP="00403CF3">
            <w:pPr>
              <w:pStyle w:val="Quadros"/>
              <w:jc w:val="center"/>
            </w:pPr>
            <w:r w:rsidRPr="00E94733">
              <w:t>8º</w:t>
            </w:r>
          </w:p>
        </w:tc>
        <w:tc>
          <w:tcPr>
            <w:tcW w:w="1417" w:type="dxa"/>
          </w:tcPr>
          <w:p w:rsidR="00B65464" w:rsidRPr="00E94733" w:rsidRDefault="00B65464" w:rsidP="00403CF3">
            <w:pPr>
              <w:pStyle w:val="Quadros"/>
              <w:jc w:val="center"/>
            </w:pPr>
            <w:r w:rsidRPr="00E94733">
              <w:t>Espanha</w:t>
            </w:r>
          </w:p>
        </w:tc>
      </w:tr>
      <w:tr w:rsidR="00B65464" w:rsidRPr="00E94733" w:rsidTr="00403CF3">
        <w:trPr>
          <w:jc w:val="center"/>
        </w:trPr>
        <w:tc>
          <w:tcPr>
            <w:tcW w:w="959" w:type="dxa"/>
          </w:tcPr>
          <w:p w:rsidR="00B65464" w:rsidRPr="00E94733" w:rsidRDefault="00B65464" w:rsidP="00403CF3">
            <w:pPr>
              <w:pStyle w:val="Quadros"/>
              <w:jc w:val="center"/>
            </w:pPr>
            <w:r w:rsidRPr="00E94733">
              <w:t>9º</w:t>
            </w:r>
          </w:p>
        </w:tc>
        <w:tc>
          <w:tcPr>
            <w:tcW w:w="1417" w:type="dxa"/>
          </w:tcPr>
          <w:p w:rsidR="00B65464" w:rsidRPr="00E94733" w:rsidRDefault="00B65464" w:rsidP="00403CF3">
            <w:pPr>
              <w:pStyle w:val="Quadros"/>
              <w:jc w:val="center"/>
            </w:pPr>
            <w:r w:rsidRPr="00E94733">
              <w:t>China</w:t>
            </w:r>
          </w:p>
        </w:tc>
      </w:tr>
      <w:tr w:rsidR="00B65464" w:rsidRPr="00E94733" w:rsidTr="00403CF3">
        <w:trPr>
          <w:jc w:val="center"/>
        </w:trPr>
        <w:tc>
          <w:tcPr>
            <w:tcW w:w="959" w:type="dxa"/>
          </w:tcPr>
          <w:p w:rsidR="00B65464" w:rsidRPr="00E94733" w:rsidRDefault="00B65464" w:rsidP="00403CF3">
            <w:pPr>
              <w:pStyle w:val="Quadros"/>
              <w:jc w:val="center"/>
            </w:pPr>
            <w:r w:rsidRPr="00E94733">
              <w:t>10º</w:t>
            </w:r>
          </w:p>
        </w:tc>
        <w:tc>
          <w:tcPr>
            <w:tcW w:w="1417" w:type="dxa"/>
          </w:tcPr>
          <w:p w:rsidR="00B65464" w:rsidRPr="00E94733" w:rsidRDefault="00B65464" w:rsidP="00403CF3">
            <w:pPr>
              <w:pStyle w:val="Quadros"/>
              <w:jc w:val="center"/>
            </w:pPr>
            <w:r w:rsidRPr="00E94733">
              <w:t>Marrocos</w:t>
            </w:r>
          </w:p>
        </w:tc>
      </w:tr>
    </w:tbl>
    <w:p w:rsidR="00B65464" w:rsidRDefault="00B65464" w:rsidP="00A72425">
      <w:pPr>
        <w:spacing w:line="240" w:lineRule="auto"/>
        <w:jc w:val="center"/>
        <w:rPr>
          <w:rFonts w:ascii="Times New Roman" w:hAnsi="Times New Roman"/>
        </w:rPr>
      </w:pPr>
      <w:r w:rsidRPr="004370B7">
        <w:rPr>
          <w:rFonts w:ascii="Times New Roman" w:hAnsi="Times New Roman"/>
        </w:rPr>
        <w:t>Fonte</w:t>
      </w:r>
      <w:r w:rsidRPr="00395E79">
        <w:rPr>
          <w:rFonts w:ascii="Times New Roman" w:hAnsi="Times New Roman"/>
        </w:rPr>
        <w:t xml:space="preserve">: </w:t>
      </w:r>
      <w:r>
        <w:rPr>
          <w:rFonts w:ascii="Times New Roman" w:hAnsi="Times New Roman"/>
        </w:rPr>
        <w:t xml:space="preserve">baseado em DR </w:t>
      </w:r>
      <w:r w:rsidRPr="00395E79">
        <w:rPr>
          <w:rFonts w:ascii="Times New Roman" w:hAnsi="Times New Roman"/>
        </w:rPr>
        <w:t>Resoluç</w:t>
      </w:r>
      <w:r>
        <w:rPr>
          <w:rFonts w:ascii="Times New Roman" w:hAnsi="Times New Roman"/>
        </w:rPr>
        <w:t>ão 29/09 (2009, p.</w:t>
      </w:r>
      <w:r w:rsidRPr="00395E79">
        <w:rPr>
          <w:rFonts w:ascii="Times New Roman" w:hAnsi="Times New Roman"/>
        </w:rPr>
        <w:t xml:space="preserve"> 1743) e INABE (201</w:t>
      </w:r>
      <w:r>
        <w:rPr>
          <w:rFonts w:ascii="Times New Roman" w:hAnsi="Times New Roman"/>
        </w:rPr>
        <w:t>1</w:t>
      </w:r>
      <w:r w:rsidRPr="00395E79">
        <w:rPr>
          <w:rFonts w:ascii="Times New Roman" w:hAnsi="Times New Roman"/>
        </w:rPr>
        <w:t>)</w:t>
      </w:r>
    </w:p>
    <w:p w:rsidR="00B65464" w:rsidRPr="00395E79" w:rsidRDefault="00B65464" w:rsidP="00A72425">
      <w:pPr>
        <w:spacing w:line="240" w:lineRule="auto"/>
        <w:jc w:val="center"/>
        <w:rPr>
          <w:rFonts w:ascii="Times New Roman" w:hAnsi="Times New Roman"/>
        </w:rPr>
      </w:pPr>
      <w:r>
        <w:rPr>
          <w:rFonts w:ascii="Times New Roman" w:hAnsi="Times New Roman"/>
        </w:rPr>
        <w:t>Elaboração da autora</w:t>
      </w:r>
    </w:p>
    <w:p w:rsidR="00B65464" w:rsidRPr="00AF33F9" w:rsidRDefault="00B65464" w:rsidP="00403CF3">
      <w:pPr>
        <w:spacing w:after="0" w:line="240" w:lineRule="auto"/>
        <w:rPr>
          <w:rFonts w:ascii="Times New Roman" w:hAnsi="Times New Roman"/>
          <w:sz w:val="20"/>
          <w:szCs w:val="20"/>
          <w:lang w:eastAsia="pt-PT"/>
        </w:rPr>
      </w:pPr>
    </w:p>
    <w:p w:rsidR="00B65464" w:rsidRDefault="00B65464" w:rsidP="00E21D72">
      <w:pPr>
        <w:spacing w:after="0" w:line="360" w:lineRule="auto"/>
        <w:ind w:firstLine="900"/>
        <w:jc w:val="both"/>
        <w:rPr>
          <w:rFonts w:ascii="Times New Roman" w:hAnsi="Times New Roman"/>
          <w:sz w:val="24"/>
          <w:szCs w:val="24"/>
          <w:lang w:eastAsia="pt-PT"/>
        </w:rPr>
      </w:pPr>
      <w:r>
        <w:rPr>
          <w:rFonts w:ascii="Times New Roman" w:hAnsi="Times New Roman"/>
          <w:sz w:val="24"/>
          <w:szCs w:val="24"/>
          <w:lang w:eastAsia="pt-PT"/>
        </w:rPr>
        <w:t>Cuba e Rússia</w:t>
      </w:r>
      <w:r w:rsidRPr="00E5596D">
        <w:rPr>
          <w:rFonts w:ascii="Times New Roman" w:hAnsi="Times New Roman"/>
          <w:sz w:val="24"/>
          <w:szCs w:val="24"/>
          <w:lang w:eastAsia="pt-PT"/>
        </w:rPr>
        <w:t xml:space="preserve"> continuam a ser destinos prioritários para </w:t>
      </w:r>
      <w:r>
        <w:rPr>
          <w:rFonts w:ascii="Times New Roman" w:hAnsi="Times New Roman"/>
          <w:sz w:val="24"/>
          <w:szCs w:val="24"/>
          <w:lang w:eastAsia="pt-PT"/>
        </w:rPr>
        <w:t>o envio de</w:t>
      </w:r>
      <w:r w:rsidRPr="00E5596D">
        <w:rPr>
          <w:rFonts w:ascii="Times New Roman" w:hAnsi="Times New Roman"/>
          <w:sz w:val="24"/>
          <w:szCs w:val="24"/>
          <w:lang w:eastAsia="pt-PT"/>
        </w:rPr>
        <w:t xml:space="preserve"> estudantes bolseiros do </w:t>
      </w:r>
      <w:r>
        <w:rPr>
          <w:rFonts w:ascii="Times New Roman" w:hAnsi="Times New Roman"/>
          <w:sz w:val="24"/>
          <w:szCs w:val="24"/>
          <w:lang w:eastAsia="pt-PT"/>
        </w:rPr>
        <w:t>Estado</w:t>
      </w:r>
      <w:r w:rsidRPr="00E5596D">
        <w:rPr>
          <w:rFonts w:ascii="Times New Roman" w:hAnsi="Times New Roman"/>
          <w:sz w:val="24"/>
          <w:szCs w:val="24"/>
          <w:lang w:eastAsia="pt-PT"/>
        </w:rPr>
        <w:t xml:space="preserve"> angolano.</w:t>
      </w:r>
      <w:r w:rsidRPr="00D22FD8">
        <w:rPr>
          <w:rFonts w:ascii="Times New Roman" w:hAnsi="Times New Roman"/>
          <w:sz w:val="24"/>
          <w:szCs w:val="24"/>
          <w:lang w:eastAsia="pt-PT"/>
        </w:rPr>
        <w:t xml:space="preserve"> O fim da política </w:t>
      </w:r>
      <w:r>
        <w:rPr>
          <w:rFonts w:ascii="Times New Roman" w:hAnsi="Times New Roman"/>
          <w:sz w:val="24"/>
          <w:szCs w:val="24"/>
          <w:lang w:eastAsia="pt-PT"/>
        </w:rPr>
        <w:t xml:space="preserve">de inspiração </w:t>
      </w:r>
      <w:r w:rsidRPr="00D22FD8">
        <w:rPr>
          <w:rFonts w:ascii="Times New Roman" w:hAnsi="Times New Roman"/>
          <w:sz w:val="24"/>
          <w:szCs w:val="24"/>
          <w:lang w:eastAsia="pt-PT"/>
        </w:rPr>
        <w:t>socialista não diminuiu a influência destes países em Angola. Em relação à Argélia</w:t>
      </w:r>
      <w:r w:rsidRPr="00921B29">
        <w:rPr>
          <w:rFonts w:ascii="Times New Roman" w:hAnsi="Times New Roman"/>
          <w:sz w:val="24"/>
          <w:szCs w:val="24"/>
          <w:lang w:eastAsia="pt-PT"/>
        </w:rPr>
        <w:t xml:space="preserve">, que ocupa o terceiro lugar </w:t>
      </w:r>
      <w:r w:rsidRPr="00921B29">
        <w:rPr>
          <w:rFonts w:ascii="Times New Roman" w:hAnsi="Times New Roman"/>
          <w:sz w:val="24"/>
          <w:szCs w:val="24"/>
          <w:lang w:eastAsia="pt-PT"/>
        </w:rPr>
        <w:lastRenderedPageBreak/>
        <w:t>desta list</w:t>
      </w:r>
      <w:r w:rsidRPr="00E21D72">
        <w:rPr>
          <w:rFonts w:ascii="Times New Roman" w:hAnsi="Times New Roman"/>
          <w:sz w:val="24"/>
          <w:szCs w:val="24"/>
          <w:lang w:eastAsia="pt-PT"/>
        </w:rPr>
        <w:t xml:space="preserve">a, </w:t>
      </w:r>
      <w:r w:rsidRPr="00CF447D">
        <w:rPr>
          <w:rFonts w:ascii="Times New Roman" w:hAnsi="Times New Roman"/>
          <w:sz w:val="24"/>
          <w:szCs w:val="24"/>
          <w:lang w:eastAsia="pt-PT"/>
        </w:rPr>
        <w:t>a presença de bolseiros angolanos nas suas instituições de ensino superior</w:t>
      </w:r>
      <w:r>
        <w:rPr>
          <w:rFonts w:ascii="Times New Roman" w:hAnsi="Times New Roman"/>
          <w:sz w:val="24"/>
          <w:szCs w:val="24"/>
          <w:lang w:eastAsia="pt-PT"/>
        </w:rPr>
        <w:t xml:space="preserve"> </w:t>
      </w:r>
      <w:r w:rsidRPr="00D22FD8">
        <w:rPr>
          <w:rFonts w:ascii="Times New Roman" w:hAnsi="Times New Roman"/>
          <w:sz w:val="24"/>
          <w:szCs w:val="24"/>
          <w:lang w:eastAsia="pt-PT"/>
        </w:rPr>
        <w:t xml:space="preserve">demonstra a </w:t>
      </w:r>
      <w:r>
        <w:rPr>
          <w:rFonts w:ascii="Times New Roman" w:hAnsi="Times New Roman"/>
          <w:sz w:val="24"/>
          <w:szCs w:val="24"/>
          <w:lang w:eastAsia="pt-PT"/>
        </w:rPr>
        <w:t>continuidade d</w:t>
      </w:r>
      <w:r w:rsidRPr="00D22FD8">
        <w:rPr>
          <w:rFonts w:ascii="Times New Roman" w:hAnsi="Times New Roman"/>
          <w:sz w:val="24"/>
          <w:szCs w:val="24"/>
          <w:lang w:eastAsia="pt-PT"/>
        </w:rPr>
        <w:t>o relacionamento de amizade entre os dois países, iniciado em meados do século XX, quando acolheu os protagonistas da luta anticolonial, tendo formado muitos quadros do MPLA</w:t>
      </w:r>
      <w:r w:rsidRPr="00D22FD8">
        <w:rPr>
          <w:rStyle w:val="Refdenotadefim"/>
          <w:rFonts w:ascii="Times New Roman" w:hAnsi="Times New Roman"/>
          <w:sz w:val="24"/>
          <w:szCs w:val="24"/>
          <w:lang w:eastAsia="pt-PT"/>
        </w:rPr>
        <w:endnoteReference w:id="9"/>
      </w:r>
      <w:r w:rsidRPr="00D22FD8">
        <w:rPr>
          <w:rFonts w:ascii="Times New Roman" w:hAnsi="Times New Roman"/>
          <w:sz w:val="24"/>
          <w:szCs w:val="24"/>
          <w:lang w:eastAsia="pt-PT"/>
        </w:rPr>
        <w:t xml:space="preserve">. Portugal ocupa o quarto lugar, seguindo-se o Brasil. </w:t>
      </w:r>
      <w:r>
        <w:rPr>
          <w:rFonts w:ascii="Times New Roman" w:hAnsi="Times New Roman"/>
          <w:sz w:val="24"/>
          <w:szCs w:val="24"/>
          <w:lang w:eastAsia="pt-PT"/>
        </w:rPr>
        <w:t>A Poló</w:t>
      </w:r>
      <w:r w:rsidRPr="00D22FD8">
        <w:rPr>
          <w:rFonts w:ascii="Times New Roman" w:hAnsi="Times New Roman"/>
          <w:sz w:val="24"/>
          <w:szCs w:val="24"/>
          <w:lang w:eastAsia="pt-PT"/>
        </w:rPr>
        <w:t xml:space="preserve">nia </w:t>
      </w:r>
      <w:r>
        <w:rPr>
          <w:rFonts w:ascii="Times New Roman" w:hAnsi="Times New Roman"/>
          <w:sz w:val="24"/>
          <w:szCs w:val="24"/>
          <w:lang w:eastAsia="pt-PT"/>
        </w:rPr>
        <w:t xml:space="preserve">e Marrocos </w:t>
      </w:r>
      <w:r w:rsidRPr="00D22FD8">
        <w:rPr>
          <w:rFonts w:ascii="Times New Roman" w:hAnsi="Times New Roman"/>
          <w:sz w:val="24"/>
          <w:szCs w:val="24"/>
          <w:lang w:eastAsia="pt-PT"/>
        </w:rPr>
        <w:t>também continua</w:t>
      </w:r>
      <w:r>
        <w:rPr>
          <w:rFonts w:ascii="Times New Roman" w:hAnsi="Times New Roman"/>
          <w:sz w:val="24"/>
          <w:szCs w:val="24"/>
          <w:lang w:eastAsia="pt-PT"/>
        </w:rPr>
        <w:t>m</w:t>
      </w:r>
      <w:r w:rsidRPr="00D22FD8">
        <w:rPr>
          <w:rFonts w:ascii="Times New Roman" w:hAnsi="Times New Roman"/>
          <w:sz w:val="24"/>
          <w:szCs w:val="24"/>
          <w:lang w:eastAsia="pt-PT"/>
        </w:rPr>
        <w:t xml:space="preserve"> a receber bolseiros angolanos, dando continuidade a uma cooperação </w:t>
      </w:r>
      <w:r>
        <w:rPr>
          <w:rFonts w:ascii="Times New Roman" w:hAnsi="Times New Roman"/>
          <w:sz w:val="24"/>
          <w:szCs w:val="24"/>
          <w:lang w:eastAsia="pt-PT"/>
        </w:rPr>
        <w:t xml:space="preserve">que foi </w:t>
      </w:r>
      <w:r w:rsidRPr="00D22FD8">
        <w:rPr>
          <w:rFonts w:ascii="Times New Roman" w:hAnsi="Times New Roman"/>
          <w:sz w:val="24"/>
          <w:szCs w:val="24"/>
          <w:lang w:eastAsia="pt-PT"/>
        </w:rPr>
        <w:t xml:space="preserve">muito intensa no período da </w:t>
      </w:r>
      <w:r>
        <w:rPr>
          <w:rFonts w:ascii="Times New Roman" w:hAnsi="Times New Roman"/>
          <w:sz w:val="24"/>
          <w:szCs w:val="24"/>
          <w:lang w:eastAsia="pt-PT"/>
        </w:rPr>
        <w:t>política socialista pois receberam</w:t>
      </w:r>
      <w:r w:rsidRPr="00D22FD8">
        <w:rPr>
          <w:rFonts w:ascii="Times New Roman" w:hAnsi="Times New Roman"/>
          <w:sz w:val="24"/>
          <w:szCs w:val="24"/>
          <w:lang w:eastAsia="pt-PT"/>
        </w:rPr>
        <w:t xml:space="preserve"> muitos bolseiros angolanos nas suas universidades. </w:t>
      </w:r>
      <w:r>
        <w:rPr>
          <w:rFonts w:ascii="Times New Roman" w:hAnsi="Times New Roman"/>
          <w:sz w:val="24"/>
          <w:szCs w:val="24"/>
          <w:lang w:eastAsia="pt-PT"/>
        </w:rPr>
        <w:t>A recente importância que a China tem ocupado nas relações económicas com Angola colocam este país na nona posição de receção de estudantes bolseiros angolanos.</w:t>
      </w:r>
    </w:p>
    <w:p w:rsidR="00B65464" w:rsidRPr="00D22FD8" w:rsidRDefault="00B65464" w:rsidP="00E21D72">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 xml:space="preserve">Em relação à África do Sul, </w:t>
      </w:r>
      <w:r>
        <w:rPr>
          <w:rFonts w:ascii="Times New Roman" w:hAnsi="Times New Roman"/>
          <w:sz w:val="24"/>
          <w:szCs w:val="24"/>
          <w:lang w:eastAsia="pt-PT"/>
        </w:rPr>
        <w:t xml:space="preserve">esta ocupa a sétima posição. </w:t>
      </w:r>
      <w:r w:rsidRPr="00D22FD8">
        <w:rPr>
          <w:rFonts w:ascii="Times New Roman" w:hAnsi="Times New Roman"/>
          <w:sz w:val="24"/>
          <w:szCs w:val="24"/>
          <w:lang w:eastAsia="pt-PT"/>
        </w:rPr>
        <w:t xml:space="preserve">Como potência regional e membro da SADC, </w:t>
      </w:r>
      <w:r>
        <w:rPr>
          <w:rFonts w:ascii="Times New Roman" w:hAnsi="Times New Roman"/>
          <w:sz w:val="24"/>
          <w:szCs w:val="24"/>
          <w:lang w:eastAsia="pt-PT"/>
        </w:rPr>
        <w:t>esperar</w:t>
      </w:r>
      <w:r w:rsidRPr="00D22FD8">
        <w:rPr>
          <w:rFonts w:ascii="Times New Roman" w:hAnsi="Times New Roman"/>
          <w:sz w:val="24"/>
          <w:szCs w:val="24"/>
          <w:lang w:eastAsia="pt-PT"/>
        </w:rPr>
        <w:t>-se</w:t>
      </w:r>
      <w:r>
        <w:rPr>
          <w:rFonts w:ascii="Times New Roman" w:hAnsi="Times New Roman"/>
          <w:sz w:val="24"/>
          <w:szCs w:val="24"/>
          <w:lang w:eastAsia="pt-PT"/>
        </w:rPr>
        <w:t>-ia</w:t>
      </w:r>
      <w:r w:rsidRPr="00D22FD8">
        <w:rPr>
          <w:rFonts w:ascii="Times New Roman" w:hAnsi="Times New Roman"/>
          <w:sz w:val="24"/>
          <w:szCs w:val="24"/>
          <w:lang w:eastAsia="pt-PT"/>
        </w:rPr>
        <w:t xml:space="preserve"> que este país assumisse um protagonismo maior na cooperação com Angola, nomeadamente, na cooperação educativa</w:t>
      </w:r>
      <w:r>
        <w:rPr>
          <w:rFonts w:ascii="Times New Roman" w:hAnsi="Times New Roman"/>
          <w:sz w:val="24"/>
          <w:szCs w:val="24"/>
          <w:lang w:eastAsia="pt-PT"/>
        </w:rPr>
        <w:t>.</w:t>
      </w:r>
      <w:r w:rsidRPr="00D22FD8">
        <w:rPr>
          <w:rFonts w:ascii="Times New Roman" w:hAnsi="Times New Roman"/>
          <w:sz w:val="24"/>
          <w:szCs w:val="24"/>
          <w:lang w:eastAsia="pt-PT"/>
        </w:rPr>
        <w:t xml:space="preserve"> As</w:t>
      </w:r>
      <w:r w:rsidRPr="00D22FD8">
        <w:rPr>
          <w:rFonts w:ascii="Times New Roman" w:hAnsi="Times New Roman"/>
          <w:sz w:val="24"/>
          <w:szCs w:val="24"/>
        </w:rPr>
        <w:t xml:space="preserve"> alterações políticas registadas na África do Sul com o fim do </w:t>
      </w:r>
      <w:r w:rsidRPr="001A7D9B">
        <w:rPr>
          <w:rFonts w:ascii="Times New Roman" w:hAnsi="Times New Roman"/>
          <w:i/>
          <w:sz w:val="24"/>
          <w:szCs w:val="24"/>
        </w:rPr>
        <w:t>apartheid</w:t>
      </w:r>
      <w:r w:rsidRPr="00D22FD8">
        <w:rPr>
          <w:rFonts w:ascii="Times New Roman" w:hAnsi="Times New Roman"/>
          <w:sz w:val="24"/>
          <w:szCs w:val="24"/>
        </w:rPr>
        <w:t xml:space="preserve"> permitiram a reaproximação dos dois países, possibilitando a intensificação do fluxo migratóri</w:t>
      </w:r>
      <w:r>
        <w:rPr>
          <w:rFonts w:ascii="Times New Roman" w:hAnsi="Times New Roman"/>
          <w:sz w:val="24"/>
          <w:szCs w:val="24"/>
        </w:rPr>
        <w:t>o de estudantes angolanos para</w:t>
      </w:r>
      <w:r w:rsidRPr="00D22FD8">
        <w:rPr>
          <w:rFonts w:ascii="Times New Roman" w:hAnsi="Times New Roman"/>
          <w:sz w:val="24"/>
          <w:szCs w:val="24"/>
        </w:rPr>
        <w:t xml:space="preserve"> aquele país. Muitos estudantes optaram por este destino devido à sua proximidade </w:t>
      </w:r>
      <w:r>
        <w:rPr>
          <w:rFonts w:ascii="Times New Roman" w:hAnsi="Times New Roman"/>
          <w:sz w:val="24"/>
          <w:szCs w:val="24"/>
        </w:rPr>
        <w:t>geográfica, o que minimiza</w:t>
      </w:r>
      <w:r w:rsidRPr="00D22FD8">
        <w:rPr>
          <w:rFonts w:ascii="Times New Roman" w:hAnsi="Times New Roman"/>
          <w:sz w:val="24"/>
          <w:szCs w:val="24"/>
        </w:rPr>
        <w:t xml:space="preserve"> o</w:t>
      </w:r>
      <w:r>
        <w:rPr>
          <w:rFonts w:ascii="Times New Roman" w:hAnsi="Times New Roman"/>
          <w:sz w:val="24"/>
          <w:szCs w:val="24"/>
        </w:rPr>
        <w:t>s</w:t>
      </w:r>
      <w:r w:rsidRPr="00D22FD8">
        <w:rPr>
          <w:rFonts w:ascii="Times New Roman" w:hAnsi="Times New Roman"/>
          <w:sz w:val="24"/>
          <w:szCs w:val="24"/>
        </w:rPr>
        <w:t xml:space="preserve"> custo</w:t>
      </w:r>
      <w:r>
        <w:rPr>
          <w:rFonts w:ascii="Times New Roman" w:hAnsi="Times New Roman"/>
          <w:sz w:val="24"/>
          <w:szCs w:val="24"/>
        </w:rPr>
        <w:t>s</w:t>
      </w:r>
      <w:r w:rsidRPr="00D22FD8">
        <w:rPr>
          <w:rFonts w:ascii="Times New Roman" w:hAnsi="Times New Roman"/>
          <w:sz w:val="24"/>
          <w:szCs w:val="24"/>
        </w:rPr>
        <w:t xml:space="preserve"> económico</w:t>
      </w:r>
      <w:r>
        <w:rPr>
          <w:rFonts w:ascii="Times New Roman" w:hAnsi="Times New Roman"/>
          <w:sz w:val="24"/>
          <w:szCs w:val="24"/>
        </w:rPr>
        <w:t>s</w:t>
      </w:r>
      <w:r w:rsidRPr="00D22FD8">
        <w:rPr>
          <w:rFonts w:ascii="Times New Roman" w:hAnsi="Times New Roman"/>
          <w:sz w:val="24"/>
          <w:szCs w:val="24"/>
        </w:rPr>
        <w:t xml:space="preserve"> bem como pela hipótese de aprendizagem da língua inglesa, entendida como uma mais-valia na formação, e na posterior integração no mercado de trabalho.</w:t>
      </w:r>
    </w:p>
    <w:p w:rsidR="00B65464" w:rsidRPr="00D22FD8" w:rsidRDefault="00B65464" w:rsidP="00403CF3">
      <w:pPr>
        <w:spacing w:after="0" w:line="240" w:lineRule="auto"/>
        <w:ind w:firstLine="540"/>
        <w:jc w:val="both"/>
        <w:rPr>
          <w:rFonts w:ascii="Times New Roman" w:hAnsi="Times New Roman"/>
          <w:sz w:val="20"/>
          <w:szCs w:val="20"/>
        </w:rPr>
      </w:pPr>
    </w:p>
    <w:p w:rsidR="00B65464" w:rsidRPr="009F716F" w:rsidRDefault="00B65464" w:rsidP="00E21D72">
      <w:pPr>
        <w:tabs>
          <w:tab w:val="left" w:pos="6439"/>
        </w:tabs>
        <w:spacing w:after="0" w:line="360" w:lineRule="auto"/>
        <w:ind w:firstLine="900"/>
        <w:jc w:val="both"/>
        <w:rPr>
          <w:rFonts w:ascii="Times New Roman" w:hAnsi="Times New Roman"/>
          <w:b/>
          <w:sz w:val="20"/>
          <w:szCs w:val="20"/>
          <w:lang w:eastAsia="pt-PT"/>
        </w:rPr>
      </w:pPr>
      <w:r w:rsidRPr="00D22FD8">
        <w:rPr>
          <w:rFonts w:ascii="Times New Roman" w:hAnsi="Times New Roman"/>
          <w:sz w:val="24"/>
          <w:szCs w:val="24"/>
          <w:lang w:eastAsia="pt-PT"/>
        </w:rPr>
        <w:t xml:space="preserve">De acordo com dados fornecidos pelo INABE em Janeiro de 2011, </w:t>
      </w:r>
      <w:r>
        <w:rPr>
          <w:rFonts w:ascii="Times New Roman" w:hAnsi="Times New Roman"/>
          <w:sz w:val="24"/>
          <w:szCs w:val="24"/>
          <w:lang w:eastAsia="pt-PT"/>
        </w:rPr>
        <w:t>encontravam-se</w:t>
      </w:r>
      <w:r w:rsidRPr="00D22FD8">
        <w:rPr>
          <w:rFonts w:ascii="Times New Roman" w:hAnsi="Times New Roman"/>
          <w:sz w:val="24"/>
          <w:szCs w:val="24"/>
          <w:lang w:eastAsia="pt-PT"/>
        </w:rPr>
        <w:t xml:space="preserve"> nessa data 1</w:t>
      </w:r>
      <w:r>
        <w:rPr>
          <w:rFonts w:ascii="Times New Roman" w:hAnsi="Times New Roman"/>
          <w:sz w:val="24"/>
          <w:szCs w:val="24"/>
          <w:lang w:eastAsia="pt-PT"/>
        </w:rPr>
        <w:t>.</w:t>
      </w:r>
      <w:r w:rsidRPr="00D22FD8">
        <w:rPr>
          <w:rFonts w:ascii="Times New Roman" w:hAnsi="Times New Roman"/>
          <w:sz w:val="24"/>
          <w:szCs w:val="24"/>
          <w:lang w:eastAsia="pt-PT"/>
        </w:rPr>
        <w:t xml:space="preserve">974 bolseiros angolanos no exterior, com bolsas de estudo daquela instituição, distribuídos por 35 países, dos quais destacamos aqueles onde se encontram </w:t>
      </w:r>
      <w:r>
        <w:rPr>
          <w:rFonts w:ascii="Times New Roman" w:hAnsi="Times New Roman"/>
          <w:sz w:val="24"/>
          <w:szCs w:val="24"/>
          <w:lang w:eastAsia="pt-PT"/>
        </w:rPr>
        <w:t xml:space="preserve">o </w:t>
      </w:r>
      <w:r w:rsidRPr="00D22FD8">
        <w:rPr>
          <w:rFonts w:ascii="Times New Roman" w:hAnsi="Times New Roman"/>
          <w:sz w:val="24"/>
          <w:szCs w:val="24"/>
          <w:lang w:eastAsia="pt-PT"/>
        </w:rPr>
        <w:t>maior número de bolseiros:</w:t>
      </w:r>
    </w:p>
    <w:p w:rsidR="00B65464" w:rsidRDefault="00B65464" w:rsidP="00403CF3">
      <w:pPr>
        <w:spacing w:after="0" w:line="240" w:lineRule="auto"/>
        <w:rPr>
          <w:rFonts w:ascii="Times New Roman" w:eastAsia="SimSun" w:hAnsi="Times New Roman"/>
          <w:bCs/>
          <w:lang w:eastAsia="zh-CN"/>
        </w:rPr>
      </w:pPr>
      <w:bookmarkStart w:id="63" w:name="_Toc321218236"/>
      <w:r>
        <w:br w:type="page"/>
      </w:r>
    </w:p>
    <w:p w:rsidR="00B65464" w:rsidRPr="00DE5824" w:rsidRDefault="00B65464" w:rsidP="00403CF3">
      <w:pPr>
        <w:pStyle w:val="legendastese"/>
        <w:rPr>
          <w:lang w:eastAsia="pt-PT"/>
        </w:rPr>
      </w:pPr>
      <w:r w:rsidRPr="00DE5824">
        <w:lastRenderedPageBreak/>
        <w:t>Qu</w:t>
      </w:r>
      <w:r>
        <w:t>adro 5. Número de bolseiros do INABE no e</w:t>
      </w:r>
      <w:r w:rsidRPr="00DE5824">
        <w:t>xterior em 2010</w:t>
      </w:r>
      <w:bookmarkEnd w:id="63"/>
    </w:p>
    <w:tbl>
      <w:tblPr>
        <w:tblStyle w:val="Tabelacomgrelha"/>
        <w:tblW w:w="0" w:type="auto"/>
        <w:jc w:val="center"/>
        <w:tblLook w:val="04A0" w:firstRow="1" w:lastRow="0" w:firstColumn="1" w:lastColumn="0" w:noHBand="0" w:noVBand="1"/>
      </w:tblPr>
      <w:tblGrid>
        <w:gridCol w:w="1703"/>
        <w:gridCol w:w="1711"/>
        <w:gridCol w:w="1692"/>
        <w:gridCol w:w="1715"/>
        <w:gridCol w:w="1673"/>
      </w:tblGrid>
      <w:tr w:rsidR="00B65464" w:rsidRPr="00DE5824" w:rsidTr="00403CF3">
        <w:trPr>
          <w:jc w:val="center"/>
        </w:trPr>
        <w:tc>
          <w:tcPr>
            <w:tcW w:w="1728" w:type="dxa"/>
            <w:shd w:val="clear" w:color="auto" w:fill="A6A6A6" w:themeFill="background1" w:themeFillShade="A6"/>
          </w:tcPr>
          <w:p w:rsidR="00B65464" w:rsidRPr="00DE5824" w:rsidRDefault="00B65464" w:rsidP="00403CF3">
            <w:pPr>
              <w:pStyle w:val="Quadros"/>
              <w:jc w:val="center"/>
              <w:rPr>
                <w:b/>
              </w:rPr>
            </w:pPr>
            <w:r w:rsidRPr="00DE5824">
              <w:rPr>
                <w:b/>
              </w:rPr>
              <w:t>País</w:t>
            </w:r>
          </w:p>
        </w:tc>
        <w:tc>
          <w:tcPr>
            <w:tcW w:w="1729" w:type="dxa"/>
            <w:shd w:val="clear" w:color="auto" w:fill="A6A6A6" w:themeFill="background1" w:themeFillShade="A6"/>
          </w:tcPr>
          <w:p w:rsidR="00B65464" w:rsidRPr="00DE5824" w:rsidRDefault="00B65464" w:rsidP="00403CF3">
            <w:pPr>
              <w:pStyle w:val="Quadros"/>
              <w:jc w:val="center"/>
              <w:rPr>
                <w:b/>
              </w:rPr>
            </w:pPr>
            <w:r w:rsidRPr="00DE5824">
              <w:rPr>
                <w:b/>
              </w:rPr>
              <w:t>Licenciaturas</w:t>
            </w:r>
          </w:p>
        </w:tc>
        <w:tc>
          <w:tcPr>
            <w:tcW w:w="1729" w:type="dxa"/>
            <w:shd w:val="clear" w:color="auto" w:fill="A6A6A6" w:themeFill="background1" w:themeFillShade="A6"/>
          </w:tcPr>
          <w:p w:rsidR="00B65464" w:rsidRPr="00DE5824" w:rsidRDefault="00B65464" w:rsidP="00403CF3">
            <w:pPr>
              <w:pStyle w:val="Quadros"/>
              <w:jc w:val="center"/>
              <w:rPr>
                <w:b/>
              </w:rPr>
            </w:pPr>
            <w:r w:rsidRPr="00DE5824">
              <w:rPr>
                <w:b/>
              </w:rPr>
              <w:t>Mestrado</w:t>
            </w:r>
          </w:p>
        </w:tc>
        <w:tc>
          <w:tcPr>
            <w:tcW w:w="1729" w:type="dxa"/>
            <w:shd w:val="clear" w:color="auto" w:fill="A6A6A6" w:themeFill="background1" w:themeFillShade="A6"/>
          </w:tcPr>
          <w:p w:rsidR="00B65464" w:rsidRPr="00DE5824" w:rsidRDefault="00B65464" w:rsidP="00403CF3">
            <w:pPr>
              <w:pStyle w:val="Quadros"/>
              <w:jc w:val="center"/>
              <w:rPr>
                <w:b/>
              </w:rPr>
            </w:pPr>
            <w:r w:rsidRPr="00DE5824">
              <w:rPr>
                <w:b/>
              </w:rPr>
              <w:t>Doutoramento</w:t>
            </w:r>
          </w:p>
        </w:tc>
        <w:tc>
          <w:tcPr>
            <w:tcW w:w="1729" w:type="dxa"/>
            <w:shd w:val="clear" w:color="auto" w:fill="A6A6A6" w:themeFill="background1" w:themeFillShade="A6"/>
          </w:tcPr>
          <w:p w:rsidR="00B65464" w:rsidRPr="00DE5824" w:rsidRDefault="00B65464" w:rsidP="00403CF3">
            <w:pPr>
              <w:pStyle w:val="Quadros"/>
              <w:jc w:val="center"/>
              <w:rPr>
                <w:b/>
              </w:rPr>
            </w:pPr>
            <w:r w:rsidRPr="00DE5824">
              <w:rPr>
                <w:b/>
              </w:rPr>
              <w:t>Total</w:t>
            </w:r>
          </w:p>
        </w:tc>
      </w:tr>
      <w:tr w:rsidR="00B65464" w:rsidRPr="00DE5824" w:rsidTr="00403CF3">
        <w:trPr>
          <w:jc w:val="center"/>
        </w:trPr>
        <w:tc>
          <w:tcPr>
            <w:tcW w:w="1728" w:type="dxa"/>
          </w:tcPr>
          <w:p w:rsidR="00B65464" w:rsidRPr="00DE5824" w:rsidRDefault="00B65464" w:rsidP="00403CF3">
            <w:pPr>
              <w:pStyle w:val="Quadros"/>
              <w:jc w:val="center"/>
            </w:pPr>
            <w:r w:rsidRPr="00DE5824">
              <w:t>África do Sul</w:t>
            </w:r>
          </w:p>
        </w:tc>
        <w:tc>
          <w:tcPr>
            <w:tcW w:w="1729" w:type="dxa"/>
          </w:tcPr>
          <w:p w:rsidR="00B65464" w:rsidRPr="00DE5824" w:rsidRDefault="00B65464" w:rsidP="00403CF3">
            <w:pPr>
              <w:pStyle w:val="Quadros"/>
              <w:jc w:val="center"/>
            </w:pPr>
            <w:r w:rsidRPr="00DE5824">
              <w:t>29</w:t>
            </w:r>
          </w:p>
        </w:tc>
        <w:tc>
          <w:tcPr>
            <w:tcW w:w="1729" w:type="dxa"/>
          </w:tcPr>
          <w:p w:rsidR="00B65464" w:rsidRPr="00DE5824" w:rsidRDefault="00B65464" w:rsidP="00403CF3">
            <w:pPr>
              <w:pStyle w:val="Quadros"/>
              <w:jc w:val="center"/>
            </w:pPr>
            <w:r w:rsidRPr="00DE5824">
              <w:t>5</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37</w:t>
            </w:r>
          </w:p>
        </w:tc>
      </w:tr>
      <w:tr w:rsidR="00B65464" w:rsidRPr="00DE5824" w:rsidTr="00403CF3">
        <w:trPr>
          <w:jc w:val="center"/>
        </w:trPr>
        <w:tc>
          <w:tcPr>
            <w:tcW w:w="1728" w:type="dxa"/>
          </w:tcPr>
          <w:p w:rsidR="00B65464" w:rsidRPr="00DE5824" w:rsidRDefault="00B65464" w:rsidP="00403CF3">
            <w:pPr>
              <w:pStyle w:val="Quadros"/>
              <w:jc w:val="center"/>
            </w:pPr>
            <w:r w:rsidRPr="00DE5824">
              <w:t>Alemanha</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2</w:t>
            </w:r>
          </w:p>
        </w:tc>
      </w:tr>
      <w:tr w:rsidR="00B65464" w:rsidRPr="00DE5824" w:rsidTr="0054266C">
        <w:trPr>
          <w:jc w:val="center"/>
        </w:trPr>
        <w:tc>
          <w:tcPr>
            <w:tcW w:w="1728" w:type="dxa"/>
            <w:shd w:val="clear" w:color="auto" w:fill="A6A6A6" w:themeFill="background1" w:themeFillShade="A6"/>
          </w:tcPr>
          <w:p w:rsidR="00B65464" w:rsidRPr="0054266C" w:rsidRDefault="00B65464" w:rsidP="00403CF3">
            <w:pPr>
              <w:pStyle w:val="Quadros"/>
              <w:jc w:val="center"/>
            </w:pPr>
            <w:r w:rsidRPr="0054266C">
              <w:t>Argélia</w:t>
            </w:r>
          </w:p>
        </w:tc>
        <w:tc>
          <w:tcPr>
            <w:tcW w:w="1729" w:type="dxa"/>
            <w:shd w:val="clear" w:color="auto" w:fill="A6A6A6" w:themeFill="background1" w:themeFillShade="A6"/>
          </w:tcPr>
          <w:p w:rsidR="00B65464" w:rsidRPr="0054266C" w:rsidRDefault="00B65464" w:rsidP="00403CF3">
            <w:pPr>
              <w:pStyle w:val="Quadros"/>
              <w:jc w:val="center"/>
            </w:pPr>
            <w:r w:rsidRPr="0054266C">
              <w:t>245</w:t>
            </w:r>
          </w:p>
        </w:tc>
        <w:tc>
          <w:tcPr>
            <w:tcW w:w="1729" w:type="dxa"/>
            <w:shd w:val="clear" w:color="auto" w:fill="A6A6A6" w:themeFill="background1" w:themeFillShade="A6"/>
          </w:tcPr>
          <w:p w:rsidR="00B65464" w:rsidRPr="0054266C" w:rsidRDefault="00B65464" w:rsidP="00403CF3">
            <w:pPr>
              <w:pStyle w:val="Quadros"/>
              <w:jc w:val="center"/>
            </w:pPr>
            <w:r w:rsidRPr="0054266C">
              <w:t>-</w:t>
            </w:r>
          </w:p>
        </w:tc>
        <w:tc>
          <w:tcPr>
            <w:tcW w:w="1729" w:type="dxa"/>
            <w:shd w:val="clear" w:color="auto" w:fill="A6A6A6" w:themeFill="background1" w:themeFillShade="A6"/>
          </w:tcPr>
          <w:p w:rsidR="00B65464" w:rsidRPr="0054266C" w:rsidRDefault="00B65464" w:rsidP="00403CF3">
            <w:pPr>
              <w:pStyle w:val="Quadros"/>
              <w:jc w:val="center"/>
            </w:pPr>
            <w:r w:rsidRPr="0054266C">
              <w:t>-</w:t>
            </w:r>
          </w:p>
        </w:tc>
        <w:tc>
          <w:tcPr>
            <w:tcW w:w="1729" w:type="dxa"/>
            <w:shd w:val="clear" w:color="auto" w:fill="A6A6A6" w:themeFill="background1" w:themeFillShade="A6"/>
          </w:tcPr>
          <w:p w:rsidR="00B65464" w:rsidRPr="0054266C" w:rsidRDefault="00B65464" w:rsidP="00403CF3">
            <w:pPr>
              <w:pStyle w:val="Quadros"/>
              <w:jc w:val="center"/>
            </w:pPr>
            <w:r w:rsidRPr="0054266C">
              <w:t>245</w:t>
            </w:r>
          </w:p>
        </w:tc>
      </w:tr>
      <w:tr w:rsidR="00B65464" w:rsidRPr="00DE5824" w:rsidTr="00403CF3">
        <w:trPr>
          <w:jc w:val="center"/>
        </w:trPr>
        <w:tc>
          <w:tcPr>
            <w:tcW w:w="1728" w:type="dxa"/>
          </w:tcPr>
          <w:p w:rsidR="00B65464" w:rsidRPr="00DE5824" w:rsidRDefault="00B65464" w:rsidP="00403CF3">
            <w:pPr>
              <w:pStyle w:val="Quadros"/>
              <w:jc w:val="center"/>
            </w:pPr>
            <w:r w:rsidRPr="00DE5824">
              <w:t>Austrália</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w:t>
            </w:r>
          </w:p>
        </w:tc>
      </w:tr>
      <w:tr w:rsidR="00B65464" w:rsidRPr="00DE5824" w:rsidTr="00403CF3">
        <w:trPr>
          <w:jc w:val="center"/>
        </w:trPr>
        <w:tc>
          <w:tcPr>
            <w:tcW w:w="1728" w:type="dxa"/>
          </w:tcPr>
          <w:p w:rsidR="00B65464" w:rsidRPr="00DE5824" w:rsidRDefault="00B65464" w:rsidP="00403CF3">
            <w:pPr>
              <w:pStyle w:val="Quadros"/>
              <w:jc w:val="center"/>
            </w:pPr>
            <w:r w:rsidRPr="00DE5824">
              <w:t>Bélgica</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2</w:t>
            </w:r>
          </w:p>
        </w:tc>
      </w:tr>
      <w:tr w:rsidR="00B65464" w:rsidRPr="00DE5824" w:rsidTr="00403CF3">
        <w:trPr>
          <w:jc w:val="center"/>
        </w:trPr>
        <w:tc>
          <w:tcPr>
            <w:tcW w:w="1728" w:type="dxa"/>
            <w:shd w:val="clear" w:color="auto" w:fill="BFBFBF" w:themeFill="background1" w:themeFillShade="BF"/>
          </w:tcPr>
          <w:p w:rsidR="00B65464" w:rsidRPr="00DE5824" w:rsidRDefault="00B65464" w:rsidP="00403CF3">
            <w:pPr>
              <w:pStyle w:val="Quadros"/>
              <w:jc w:val="center"/>
            </w:pPr>
            <w:r w:rsidRPr="00DE5824">
              <w:t>Brasil</w:t>
            </w:r>
          </w:p>
        </w:tc>
        <w:tc>
          <w:tcPr>
            <w:tcW w:w="1729" w:type="dxa"/>
            <w:shd w:val="clear" w:color="auto" w:fill="BFBFBF" w:themeFill="background1" w:themeFillShade="BF"/>
          </w:tcPr>
          <w:p w:rsidR="00B65464" w:rsidRPr="00DE5824" w:rsidRDefault="00B65464" w:rsidP="00403CF3">
            <w:pPr>
              <w:pStyle w:val="Quadros"/>
              <w:jc w:val="center"/>
            </w:pPr>
            <w:r w:rsidRPr="00DE5824">
              <w:t>141</w:t>
            </w:r>
          </w:p>
        </w:tc>
        <w:tc>
          <w:tcPr>
            <w:tcW w:w="1729" w:type="dxa"/>
            <w:shd w:val="clear" w:color="auto" w:fill="BFBFBF" w:themeFill="background1" w:themeFillShade="BF"/>
          </w:tcPr>
          <w:p w:rsidR="00B65464" w:rsidRPr="00DE5824" w:rsidRDefault="00B65464" w:rsidP="00403CF3">
            <w:pPr>
              <w:pStyle w:val="Quadros"/>
              <w:jc w:val="center"/>
            </w:pPr>
            <w:r w:rsidRPr="00DE5824">
              <w:t>5</w:t>
            </w:r>
          </w:p>
        </w:tc>
        <w:tc>
          <w:tcPr>
            <w:tcW w:w="1729" w:type="dxa"/>
            <w:shd w:val="clear" w:color="auto" w:fill="BFBFBF" w:themeFill="background1" w:themeFillShade="BF"/>
          </w:tcPr>
          <w:p w:rsidR="00B65464" w:rsidRPr="00DE5824" w:rsidRDefault="00B65464" w:rsidP="00403CF3">
            <w:pPr>
              <w:pStyle w:val="Quadros"/>
              <w:jc w:val="center"/>
            </w:pPr>
            <w:r w:rsidRPr="00DE5824">
              <w:t>7</w:t>
            </w:r>
          </w:p>
        </w:tc>
        <w:tc>
          <w:tcPr>
            <w:tcW w:w="1729" w:type="dxa"/>
            <w:shd w:val="clear" w:color="auto" w:fill="BFBFBF" w:themeFill="background1" w:themeFillShade="BF"/>
          </w:tcPr>
          <w:p w:rsidR="00B65464" w:rsidRPr="00DE5824" w:rsidRDefault="00B65464" w:rsidP="00403CF3">
            <w:pPr>
              <w:pStyle w:val="Quadros"/>
              <w:jc w:val="center"/>
            </w:pPr>
            <w:r w:rsidRPr="00DE5824">
              <w:t>153</w:t>
            </w:r>
          </w:p>
        </w:tc>
      </w:tr>
      <w:tr w:rsidR="00B65464" w:rsidRPr="00DE5824" w:rsidTr="00403CF3">
        <w:trPr>
          <w:jc w:val="center"/>
        </w:trPr>
        <w:tc>
          <w:tcPr>
            <w:tcW w:w="1728" w:type="dxa"/>
          </w:tcPr>
          <w:p w:rsidR="00B65464" w:rsidRPr="00DE5824" w:rsidRDefault="00B65464" w:rsidP="00403CF3">
            <w:pPr>
              <w:pStyle w:val="Quadros"/>
              <w:jc w:val="center"/>
            </w:pPr>
            <w:r w:rsidRPr="00DE5824">
              <w:t>Burkina Faso</w:t>
            </w:r>
          </w:p>
        </w:tc>
        <w:tc>
          <w:tcPr>
            <w:tcW w:w="1729" w:type="dxa"/>
          </w:tcPr>
          <w:p w:rsidR="00B65464" w:rsidRPr="00DE5824" w:rsidRDefault="00B65464" w:rsidP="00403CF3">
            <w:pPr>
              <w:pStyle w:val="Quadros"/>
              <w:jc w:val="center"/>
            </w:pPr>
            <w:r w:rsidRPr="00DE5824">
              <w:t>13</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16</w:t>
            </w:r>
          </w:p>
        </w:tc>
      </w:tr>
      <w:tr w:rsidR="00B65464" w:rsidRPr="00DE5824" w:rsidTr="00403CF3">
        <w:trPr>
          <w:jc w:val="center"/>
        </w:trPr>
        <w:tc>
          <w:tcPr>
            <w:tcW w:w="1728" w:type="dxa"/>
          </w:tcPr>
          <w:p w:rsidR="00B65464" w:rsidRPr="00DE5824" w:rsidRDefault="00B65464" w:rsidP="00403CF3">
            <w:pPr>
              <w:pStyle w:val="Quadros"/>
              <w:jc w:val="center"/>
            </w:pPr>
            <w:r w:rsidRPr="00DE5824">
              <w:t>Rep. Checa</w:t>
            </w:r>
          </w:p>
        </w:tc>
        <w:tc>
          <w:tcPr>
            <w:tcW w:w="1729" w:type="dxa"/>
          </w:tcPr>
          <w:p w:rsidR="00B65464" w:rsidRPr="00DE5824" w:rsidRDefault="00B65464" w:rsidP="00403CF3">
            <w:pPr>
              <w:pStyle w:val="Quadros"/>
              <w:jc w:val="center"/>
            </w:pPr>
            <w:r w:rsidRPr="00DE5824">
              <w:t>4</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4</w:t>
            </w:r>
          </w:p>
        </w:tc>
      </w:tr>
      <w:tr w:rsidR="00B65464" w:rsidRPr="00DE5824" w:rsidTr="00403CF3">
        <w:trPr>
          <w:jc w:val="center"/>
        </w:trPr>
        <w:tc>
          <w:tcPr>
            <w:tcW w:w="1728" w:type="dxa"/>
          </w:tcPr>
          <w:p w:rsidR="00B65464" w:rsidRPr="00DE5824" w:rsidRDefault="00B65464" w:rsidP="00403CF3">
            <w:pPr>
              <w:pStyle w:val="Quadros"/>
              <w:jc w:val="center"/>
            </w:pPr>
            <w:r w:rsidRPr="00DE5824">
              <w:t>China</w:t>
            </w:r>
          </w:p>
        </w:tc>
        <w:tc>
          <w:tcPr>
            <w:tcW w:w="1729" w:type="dxa"/>
          </w:tcPr>
          <w:p w:rsidR="00B65464" w:rsidRPr="00DE5824" w:rsidRDefault="00B65464" w:rsidP="00403CF3">
            <w:pPr>
              <w:pStyle w:val="Quadros"/>
              <w:jc w:val="center"/>
            </w:pPr>
            <w:r w:rsidRPr="00DE5824">
              <w:t>44</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47</w:t>
            </w:r>
          </w:p>
        </w:tc>
      </w:tr>
      <w:tr w:rsidR="00B65464" w:rsidRPr="00DE5824" w:rsidTr="00403CF3">
        <w:trPr>
          <w:jc w:val="center"/>
        </w:trPr>
        <w:tc>
          <w:tcPr>
            <w:tcW w:w="1728" w:type="dxa"/>
          </w:tcPr>
          <w:p w:rsidR="00B65464" w:rsidRPr="00DE5824" w:rsidRDefault="00B65464" w:rsidP="00403CF3">
            <w:pPr>
              <w:pStyle w:val="Quadros"/>
              <w:jc w:val="center"/>
            </w:pPr>
            <w:r w:rsidRPr="00DE5824">
              <w:t>Congo</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1</w:t>
            </w:r>
          </w:p>
        </w:tc>
      </w:tr>
      <w:tr w:rsidR="00B65464" w:rsidRPr="00DE5824" w:rsidTr="0054266C">
        <w:trPr>
          <w:jc w:val="center"/>
        </w:trPr>
        <w:tc>
          <w:tcPr>
            <w:tcW w:w="1728" w:type="dxa"/>
            <w:shd w:val="clear" w:color="auto" w:fill="A6A6A6" w:themeFill="background1" w:themeFillShade="A6"/>
          </w:tcPr>
          <w:p w:rsidR="00B65464" w:rsidRPr="0054266C" w:rsidRDefault="00B65464" w:rsidP="00403CF3">
            <w:pPr>
              <w:pStyle w:val="Quadros"/>
              <w:jc w:val="center"/>
            </w:pPr>
            <w:r w:rsidRPr="0054266C">
              <w:t>Cuba</w:t>
            </w:r>
          </w:p>
        </w:tc>
        <w:tc>
          <w:tcPr>
            <w:tcW w:w="1729" w:type="dxa"/>
            <w:shd w:val="clear" w:color="auto" w:fill="A6A6A6" w:themeFill="background1" w:themeFillShade="A6"/>
          </w:tcPr>
          <w:p w:rsidR="00B65464" w:rsidRPr="0054266C" w:rsidRDefault="00B65464" w:rsidP="00403CF3">
            <w:pPr>
              <w:pStyle w:val="Quadros"/>
              <w:jc w:val="center"/>
            </w:pPr>
            <w:r w:rsidRPr="0054266C">
              <w:t>574</w:t>
            </w:r>
          </w:p>
        </w:tc>
        <w:tc>
          <w:tcPr>
            <w:tcW w:w="1729" w:type="dxa"/>
            <w:shd w:val="clear" w:color="auto" w:fill="A6A6A6" w:themeFill="background1" w:themeFillShade="A6"/>
          </w:tcPr>
          <w:p w:rsidR="00B65464" w:rsidRPr="0054266C" w:rsidRDefault="00B65464" w:rsidP="00403CF3">
            <w:pPr>
              <w:pStyle w:val="Quadros"/>
              <w:jc w:val="center"/>
            </w:pPr>
            <w:r w:rsidRPr="0054266C">
              <w:t>13</w:t>
            </w:r>
          </w:p>
        </w:tc>
        <w:tc>
          <w:tcPr>
            <w:tcW w:w="1729" w:type="dxa"/>
            <w:shd w:val="clear" w:color="auto" w:fill="A6A6A6" w:themeFill="background1" w:themeFillShade="A6"/>
          </w:tcPr>
          <w:p w:rsidR="00B65464" w:rsidRPr="0054266C" w:rsidRDefault="00B65464" w:rsidP="00403CF3">
            <w:pPr>
              <w:pStyle w:val="Quadros"/>
              <w:jc w:val="center"/>
            </w:pPr>
            <w:r w:rsidRPr="0054266C">
              <w:t>124</w:t>
            </w:r>
          </w:p>
        </w:tc>
        <w:tc>
          <w:tcPr>
            <w:tcW w:w="1729" w:type="dxa"/>
            <w:shd w:val="clear" w:color="auto" w:fill="A6A6A6" w:themeFill="background1" w:themeFillShade="A6"/>
          </w:tcPr>
          <w:p w:rsidR="00B65464" w:rsidRPr="0054266C" w:rsidRDefault="00B65464" w:rsidP="00403CF3">
            <w:pPr>
              <w:pStyle w:val="Quadros"/>
              <w:jc w:val="center"/>
            </w:pPr>
            <w:r w:rsidRPr="0054266C">
              <w:t>728</w:t>
            </w:r>
          </w:p>
        </w:tc>
      </w:tr>
      <w:tr w:rsidR="00B65464" w:rsidRPr="00DE5824" w:rsidTr="00403CF3">
        <w:trPr>
          <w:jc w:val="center"/>
        </w:trPr>
        <w:tc>
          <w:tcPr>
            <w:tcW w:w="1728" w:type="dxa"/>
          </w:tcPr>
          <w:p w:rsidR="00B65464" w:rsidRPr="00DE5824" w:rsidRDefault="00B65464" w:rsidP="00403CF3">
            <w:pPr>
              <w:pStyle w:val="Quadros"/>
              <w:jc w:val="center"/>
            </w:pPr>
            <w:r w:rsidRPr="00DE5824">
              <w:t>E.U.A.</w:t>
            </w:r>
          </w:p>
        </w:tc>
        <w:tc>
          <w:tcPr>
            <w:tcW w:w="1729" w:type="dxa"/>
          </w:tcPr>
          <w:p w:rsidR="00B65464" w:rsidRPr="00DE5824" w:rsidRDefault="00B65464" w:rsidP="00403CF3">
            <w:pPr>
              <w:pStyle w:val="Quadros"/>
              <w:jc w:val="center"/>
            </w:pPr>
            <w:r w:rsidRPr="00DE5824">
              <w:t>8</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13</w:t>
            </w:r>
          </w:p>
        </w:tc>
      </w:tr>
      <w:tr w:rsidR="00B65464" w:rsidRPr="00DE5824" w:rsidTr="00403CF3">
        <w:trPr>
          <w:jc w:val="center"/>
        </w:trPr>
        <w:tc>
          <w:tcPr>
            <w:tcW w:w="1728" w:type="dxa"/>
          </w:tcPr>
          <w:p w:rsidR="00B65464" w:rsidRPr="00DE5824" w:rsidRDefault="00B65464" w:rsidP="00403CF3">
            <w:pPr>
              <w:pStyle w:val="Quadros"/>
              <w:jc w:val="center"/>
            </w:pPr>
            <w:r w:rsidRPr="00DE5824">
              <w:t>Eslováquia</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2</w:t>
            </w:r>
          </w:p>
        </w:tc>
      </w:tr>
      <w:tr w:rsidR="00B65464" w:rsidRPr="00DE5824" w:rsidTr="00403CF3">
        <w:trPr>
          <w:jc w:val="center"/>
        </w:trPr>
        <w:tc>
          <w:tcPr>
            <w:tcW w:w="1728" w:type="dxa"/>
          </w:tcPr>
          <w:p w:rsidR="00B65464" w:rsidRPr="00DE5824" w:rsidRDefault="00B65464" w:rsidP="00403CF3">
            <w:pPr>
              <w:pStyle w:val="Quadros"/>
              <w:jc w:val="center"/>
            </w:pPr>
            <w:r w:rsidRPr="00DE5824">
              <w:t>Espanha</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9</w:t>
            </w:r>
          </w:p>
        </w:tc>
        <w:tc>
          <w:tcPr>
            <w:tcW w:w="1729" w:type="dxa"/>
          </w:tcPr>
          <w:p w:rsidR="00B65464" w:rsidRPr="00DE5824" w:rsidRDefault="00B65464" w:rsidP="00403CF3">
            <w:pPr>
              <w:pStyle w:val="Quadros"/>
              <w:jc w:val="center"/>
            </w:pPr>
            <w:r w:rsidRPr="00DE5824">
              <w:t>14</w:t>
            </w:r>
          </w:p>
        </w:tc>
      </w:tr>
      <w:tr w:rsidR="00B65464" w:rsidRPr="00DE5824" w:rsidTr="00403CF3">
        <w:trPr>
          <w:jc w:val="center"/>
        </w:trPr>
        <w:tc>
          <w:tcPr>
            <w:tcW w:w="1728" w:type="dxa"/>
          </w:tcPr>
          <w:p w:rsidR="00B65464" w:rsidRPr="00DE5824" w:rsidRDefault="00B65464" w:rsidP="00403CF3">
            <w:pPr>
              <w:pStyle w:val="Quadros"/>
              <w:jc w:val="center"/>
            </w:pPr>
            <w:r w:rsidRPr="00DE5824">
              <w:t>França</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4</w:t>
            </w:r>
          </w:p>
        </w:tc>
        <w:tc>
          <w:tcPr>
            <w:tcW w:w="1729" w:type="dxa"/>
          </w:tcPr>
          <w:p w:rsidR="00B65464" w:rsidRPr="00DE5824" w:rsidRDefault="00B65464" w:rsidP="00403CF3">
            <w:pPr>
              <w:pStyle w:val="Quadros"/>
              <w:jc w:val="center"/>
            </w:pPr>
            <w:r w:rsidRPr="00DE5824">
              <w:t>4</w:t>
            </w:r>
          </w:p>
        </w:tc>
      </w:tr>
      <w:tr w:rsidR="00B65464" w:rsidRPr="00DE5824" w:rsidTr="00403CF3">
        <w:trPr>
          <w:jc w:val="center"/>
        </w:trPr>
        <w:tc>
          <w:tcPr>
            <w:tcW w:w="1728" w:type="dxa"/>
          </w:tcPr>
          <w:p w:rsidR="00B65464" w:rsidRPr="00DE5824" w:rsidRDefault="00B65464" w:rsidP="00403CF3">
            <w:pPr>
              <w:pStyle w:val="Quadros"/>
              <w:jc w:val="center"/>
            </w:pPr>
            <w:r w:rsidRPr="00DE5824">
              <w:t>Ghana</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2</w:t>
            </w:r>
          </w:p>
        </w:tc>
      </w:tr>
      <w:tr w:rsidR="00B65464" w:rsidRPr="00DE5824" w:rsidTr="00403CF3">
        <w:trPr>
          <w:jc w:val="center"/>
        </w:trPr>
        <w:tc>
          <w:tcPr>
            <w:tcW w:w="1728" w:type="dxa"/>
          </w:tcPr>
          <w:p w:rsidR="00B65464" w:rsidRPr="00DE5824" w:rsidRDefault="00B65464" w:rsidP="00403CF3">
            <w:pPr>
              <w:pStyle w:val="Quadros"/>
              <w:jc w:val="center"/>
            </w:pPr>
            <w:r w:rsidRPr="00DE5824">
              <w:t>Grécia</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w:t>
            </w:r>
          </w:p>
        </w:tc>
      </w:tr>
      <w:tr w:rsidR="00B65464" w:rsidRPr="00DE5824" w:rsidTr="00403CF3">
        <w:trPr>
          <w:jc w:val="center"/>
        </w:trPr>
        <w:tc>
          <w:tcPr>
            <w:tcW w:w="1728" w:type="dxa"/>
          </w:tcPr>
          <w:p w:rsidR="00B65464" w:rsidRPr="00DE5824" w:rsidRDefault="00B65464" w:rsidP="00403CF3">
            <w:pPr>
              <w:pStyle w:val="Quadros"/>
              <w:jc w:val="center"/>
            </w:pPr>
            <w:r w:rsidRPr="00DE5824">
              <w:t>Holanda</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w:t>
            </w:r>
          </w:p>
        </w:tc>
      </w:tr>
      <w:tr w:rsidR="00B65464" w:rsidRPr="00DE5824" w:rsidTr="00403CF3">
        <w:trPr>
          <w:jc w:val="center"/>
        </w:trPr>
        <w:tc>
          <w:tcPr>
            <w:tcW w:w="1728" w:type="dxa"/>
          </w:tcPr>
          <w:p w:rsidR="00B65464" w:rsidRPr="00DE5824" w:rsidRDefault="00B65464" w:rsidP="00403CF3">
            <w:pPr>
              <w:pStyle w:val="Quadros"/>
              <w:jc w:val="center"/>
            </w:pPr>
            <w:r w:rsidRPr="00DE5824">
              <w:t>Inglaterra</w:t>
            </w:r>
          </w:p>
        </w:tc>
        <w:tc>
          <w:tcPr>
            <w:tcW w:w="1729" w:type="dxa"/>
          </w:tcPr>
          <w:p w:rsidR="00B65464" w:rsidRPr="00DE5824" w:rsidRDefault="00B65464" w:rsidP="00403CF3">
            <w:pPr>
              <w:pStyle w:val="Quadros"/>
              <w:jc w:val="center"/>
            </w:pPr>
            <w:r w:rsidRPr="00DE5824">
              <w:t>5</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5</w:t>
            </w:r>
          </w:p>
        </w:tc>
      </w:tr>
      <w:tr w:rsidR="00B65464" w:rsidRPr="00DE5824" w:rsidTr="00403CF3">
        <w:trPr>
          <w:jc w:val="center"/>
        </w:trPr>
        <w:tc>
          <w:tcPr>
            <w:tcW w:w="1728" w:type="dxa"/>
          </w:tcPr>
          <w:p w:rsidR="00B65464" w:rsidRPr="00DE5824" w:rsidRDefault="00B65464" w:rsidP="00403CF3">
            <w:pPr>
              <w:pStyle w:val="Quadros"/>
              <w:jc w:val="center"/>
            </w:pPr>
            <w:r w:rsidRPr="00DE5824">
              <w:t>Marrocos</w:t>
            </w:r>
          </w:p>
        </w:tc>
        <w:tc>
          <w:tcPr>
            <w:tcW w:w="1729" w:type="dxa"/>
          </w:tcPr>
          <w:p w:rsidR="00B65464" w:rsidRPr="00DE5824" w:rsidRDefault="00B65464" w:rsidP="00403CF3">
            <w:pPr>
              <w:pStyle w:val="Quadros"/>
              <w:jc w:val="center"/>
            </w:pPr>
            <w:r w:rsidRPr="00DE5824">
              <w:t>53</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53</w:t>
            </w:r>
          </w:p>
        </w:tc>
      </w:tr>
      <w:tr w:rsidR="00B65464" w:rsidRPr="00DE5824" w:rsidTr="00403CF3">
        <w:trPr>
          <w:jc w:val="center"/>
        </w:trPr>
        <w:tc>
          <w:tcPr>
            <w:tcW w:w="1728" w:type="dxa"/>
          </w:tcPr>
          <w:p w:rsidR="00B65464" w:rsidRPr="00DE5824" w:rsidRDefault="00B65464" w:rsidP="00403CF3">
            <w:pPr>
              <w:pStyle w:val="Quadros"/>
              <w:jc w:val="center"/>
            </w:pPr>
            <w:r w:rsidRPr="00DE5824">
              <w:t>Moçambique</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4</w:t>
            </w:r>
          </w:p>
        </w:tc>
      </w:tr>
      <w:tr w:rsidR="00B65464" w:rsidRPr="00DE5824" w:rsidTr="00403CF3">
        <w:trPr>
          <w:jc w:val="center"/>
        </w:trPr>
        <w:tc>
          <w:tcPr>
            <w:tcW w:w="1728" w:type="dxa"/>
          </w:tcPr>
          <w:p w:rsidR="00B65464" w:rsidRPr="00DE5824" w:rsidRDefault="00B65464" w:rsidP="00403CF3">
            <w:pPr>
              <w:pStyle w:val="Quadros"/>
              <w:jc w:val="center"/>
            </w:pPr>
            <w:r w:rsidRPr="00DE5824">
              <w:t>Namíbia</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2</w:t>
            </w:r>
          </w:p>
        </w:tc>
      </w:tr>
      <w:tr w:rsidR="00B65464" w:rsidRPr="00DE5824" w:rsidTr="00403CF3">
        <w:trPr>
          <w:jc w:val="center"/>
        </w:trPr>
        <w:tc>
          <w:tcPr>
            <w:tcW w:w="1728" w:type="dxa"/>
          </w:tcPr>
          <w:p w:rsidR="00B65464" w:rsidRPr="00DE5824" w:rsidRDefault="00B65464" w:rsidP="00403CF3">
            <w:pPr>
              <w:pStyle w:val="Quadros"/>
              <w:jc w:val="center"/>
            </w:pPr>
            <w:r w:rsidRPr="00DE5824">
              <w:t>Noruega</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1</w:t>
            </w:r>
          </w:p>
        </w:tc>
      </w:tr>
      <w:tr w:rsidR="00B65464" w:rsidRPr="00DE5824" w:rsidTr="00403CF3">
        <w:trPr>
          <w:jc w:val="center"/>
        </w:trPr>
        <w:tc>
          <w:tcPr>
            <w:tcW w:w="1728" w:type="dxa"/>
          </w:tcPr>
          <w:p w:rsidR="00B65464" w:rsidRPr="00DE5824" w:rsidRDefault="00B65464" w:rsidP="00403CF3">
            <w:pPr>
              <w:pStyle w:val="Quadros"/>
              <w:jc w:val="center"/>
            </w:pPr>
            <w:r w:rsidRPr="00DE5824">
              <w:t>Polónia</w:t>
            </w:r>
          </w:p>
        </w:tc>
        <w:tc>
          <w:tcPr>
            <w:tcW w:w="1729" w:type="dxa"/>
          </w:tcPr>
          <w:p w:rsidR="00B65464" w:rsidRPr="00DE5824" w:rsidRDefault="00B65464" w:rsidP="00403CF3">
            <w:pPr>
              <w:pStyle w:val="Quadros"/>
              <w:jc w:val="center"/>
            </w:pPr>
            <w:r w:rsidRPr="00DE5824">
              <w:t>68</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68</w:t>
            </w:r>
          </w:p>
        </w:tc>
      </w:tr>
      <w:tr w:rsidR="00B65464" w:rsidRPr="00DE5824" w:rsidTr="00403CF3">
        <w:trPr>
          <w:jc w:val="center"/>
        </w:trPr>
        <w:tc>
          <w:tcPr>
            <w:tcW w:w="1728" w:type="dxa"/>
            <w:shd w:val="clear" w:color="auto" w:fill="BFBFBF" w:themeFill="background1" w:themeFillShade="BF"/>
          </w:tcPr>
          <w:p w:rsidR="00B65464" w:rsidRPr="00DE5824" w:rsidRDefault="00B65464" w:rsidP="00403CF3">
            <w:pPr>
              <w:pStyle w:val="Quadros"/>
              <w:jc w:val="center"/>
            </w:pPr>
            <w:r w:rsidRPr="00DE5824">
              <w:t>Portugal</w:t>
            </w:r>
          </w:p>
        </w:tc>
        <w:tc>
          <w:tcPr>
            <w:tcW w:w="1729" w:type="dxa"/>
            <w:shd w:val="clear" w:color="auto" w:fill="BFBFBF" w:themeFill="background1" w:themeFillShade="BF"/>
          </w:tcPr>
          <w:p w:rsidR="00B65464" w:rsidRPr="00DE5824" w:rsidRDefault="00B65464" w:rsidP="00403CF3">
            <w:pPr>
              <w:pStyle w:val="Quadros"/>
              <w:jc w:val="center"/>
            </w:pPr>
            <w:r w:rsidRPr="00DE5824">
              <w:t>71</w:t>
            </w:r>
          </w:p>
        </w:tc>
        <w:tc>
          <w:tcPr>
            <w:tcW w:w="1729" w:type="dxa"/>
            <w:shd w:val="clear" w:color="auto" w:fill="BFBFBF" w:themeFill="background1" w:themeFillShade="BF"/>
          </w:tcPr>
          <w:p w:rsidR="00B65464" w:rsidRPr="00DE5824" w:rsidRDefault="00B65464" w:rsidP="00403CF3">
            <w:pPr>
              <w:pStyle w:val="Quadros"/>
              <w:jc w:val="center"/>
            </w:pPr>
            <w:r w:rsidRPr="00DE5824">
              <w:t>26</w:t>
            </w:r>
          </w:p>
        </w:tc>
        <w:tc>
          <w:tcPr>
            <w:tcW w:w="1729" w:type="dxa"/>
            <w:shd w:val="clear" w:color="auto" w:fill="BFBFBF" w:themeFill="background1" w:themeFillShade="BF"/>
          </w:tcPr>
          <w:p w:rsidR="00B65464" w:rsidRPr="00DE5824" w:rsidRDefault="00B65464" w:rsidP="00403CF3">
            <w:pPr>
              <w:pStyle w:val="Quadros"/>
              <w:jc w:val="center"/>
            </w:pPr>
            <w:r w:rsidRPr="00DE5824">
              <w:t>51</w:t>
            </w:r>
          </w:p>
        </w:tc>
        <w:tc>
          <w:tcPr>
            <w:tcW w:w="1729" w:type="dxa"/>
            <w:shd w:val="clear" w:color="auto" w:fill="BFBFBF" w:themeFill="background1" w:themeFillShade="BF"/>
          </w:tcPr>
          <w:p w:rsidR="00B65464" w:rsidRPr="00DE5824" w:rsidRDefault="00B65464" w:rsidP="00403CF3">
            <w:pPr>
              <w:pStyle w:val="Quadros"/>
              <w:jc w:val="center"/>
            </w:pPr>
            <w:r w:rsidRPr="00DE5824">
              <w:t>148</w:t>
            </w:r>
          </w:p>
        </w:tc>
      </w:tr>
      <w:tr w:rsidR="00B65464" w:rsidRPr="00DE5824" w:rsidTr="00403CF3">
        <w:trPr>
          <w:jc w:val="center"/>
        </w:trPr>
        <w:tc>
          <w:tcPr>
            <w:tcW w:w="1728" w:type="dxa"/>
          </w:tcPr>
          <w:p w:rsidR="00B65464" w:rsidRPr="00DE5824" w:rsidRDefault="00B65464" w:rsidP="00403CF3">
            <w:pPr>
              <w:pStyle w:val="Quadros"/>
              <w:jc w:val="center"/>
            </w:pPr>
            <w:r w:rsidRPr="00DE5824">
              <w:t>R. D. Congo</w:t>
            </w:r>
          </w:p>
        </w:tc>
        <w:tc>
          <w:tcPr>
            <w:tcW w:w="1729" w:type="dxa"/>
          </w:tcPr>
          <w:p w:rsidR="00B65464" w:rsidRPr="00DE5824" w:rsidRDefault="00B65464" w:rsidP="00403CF3">
            <w:pPr>
              <w:pStyle w:val="Quadros"/>
              <w:jc w:val="center"/>
            </w:pPr>
            <w:r w:rsidRPr="00DE5824">
              <w:t>4</w:t>
            </w:r>
          </w:p>
        </w:tc>
        <w:tc>
          <w:tcPr>
            <w:tcW w:w="1729" w:type="dxa"/>
          </w:tcPr>
          <w:p w:rsidR="00B65464" w:rsidRPr="00DE5824" w:rsidRDefault="00B65464" w:rsidP="00403CF3">
            <w:pPr>
              <w:pStyle w:val="Quadros"/>
              <w:jc w:val="center"/>
            </w:pPr>
            <w:r w:rsidRPr="00DE5824">
              <w:t>4</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11</w:t>
            </w:r>
          </w:p>
        </w:tc>
      </w:tr>
      <w:tr w:rsidR="00B65464" w:rsidRPr="00DE5824" w:rsidTr="00403CF3">
        <w:trPr>
          <w:jc w:val="center"/>
        </w:trPr>
        <w:tc>
          <w:tcPr>
            <w:tcW w:w="1728" w:type="dxa"/>
          </w:tcPr>
          <w:p w:rsidR="00B65464" w:rsidRPr="00DE5824" w:rsidRDefault="00B65464" w:rsidP="00403CF3">
            <w:pPr>
              <w:pStyle w:val="Quadros"/>
              <w:jc w:val="center"/>
            </w:pPr>
            <w:r w:rsidRPr="00DE5824">
              <w:t>Roménia</w:t>
            </w:r>
          </w:p>
        </w:tc>
        <w:tc>
          <w:tcPr>
            <w:tcW w:w="1729" w:type="dxa"/>
          </w:tcPr>
          <w:p w:rsidR="00B65464" w:rsidRPr="00DE5824" w:rsidRDefault="00B65464" w:rsidP="00403CF3">
            <w:pPr>
              <w:pStyle w:val="Quadros"/>
              <w:jc w:val="center"/>
            </w:pPr>
            <w:r w:rsidRPr="00DE5824">
              <w:t>46</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47</w:t>
            </w:r>
          </w:p>
        </w:tc>
      </w:tr>
      <w:tr w:rsidR="00B65464" w:rsidRPr="00DE5824" w:rsidTr="00403CF3">
        <w:trPr>
          <w:jc w:val="center"/>
        </w:trPr>
        <w:tc>
          <w:tcPr>
            <w:tcW w:w="1728" w:type="dxa"/>
          </w:tcPr>
          <w:p w:rsidR="00B65464" w:rsidRPr="00DE5824" w:rsidRDefault="00B65464" w:rsidP="00403CF3">
            <w:pPr>
              <w:pStyle w:val="Quadros"/>
              <w:jc w:val="center"/>
            </w:pPr>
            <w:r w:rsidRPr="00DE5824">
              <w:t>Rússia</w:t>
            </w:r>
          </w:p>
        </w:tc>
        <w:tc>
          <w:tcPr>
            <w:tcW w:w="1729" w:type="dxa"/>
          </w:tcPr>
          <w:p w:rsidR="00B65464" w:rsidRPr="00DE5824" w:rsidRDefault="00B65464" w:rsidP="00403CF3">
            <w:pPr>
              <w:pStyle w:val="Quadros"/>
              <w:jc w:val="center"/>
            </w:pPr>
            <w:r w:rsidRPr="00DE5824">
              <w:t>303</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9</w:t>
            </w:r>
          </w:p>
        </w:tc>
        <w:tc>
          <w:tcPr>
            <w:tcW w:w="1729" w:type="dxa"/>
          </w:tcPr>
          <w:p w:rsidR="00B65464" w:rsidRPr="00DE5824" w:rsidRDefault="00B65464" w:rsidP="00403CF3">
            <w:pPr>
              <w:pStyle w:val="Quadros"/>
              <w:jc w:val="center"/>
            </w:pPr>
            <w:r w:rsidRPr="00DE5824">
              <w:t>312</w:t>
            </w:r>
          </w:p>
        </w:tc>
      </w:tr>
      <w:tr w:rsidR="00B65464" w:rsidRPr="00DE5824" w:rsidTr="00403CF3">
        <w:trPr>
          <w:jc w:val="center"/>
        </w:trPr>
        <w:tc>
          <w:tcPr>
            <w:tcW w:w="1728" w:type="dxa"/>
          </w:tcPr>
          <w:p w:rsidR="00B65464" w:rsidRPr="00DE5824" w:rsidRDefault="00B65464" w:rsidP="00403CF3">
            <w:pPr>
              <w:pStyle w:val="Quadros"/>
              <w:jc w:val="center"/>
            </w:pPr>
            <w:r w:rsidRPr="00DE5824">
              <w:t>Sérvia</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3</w:t>
            </w:r>
          </w:p>
        </w:tc>
      </w:tr>
      <w:tr w:rsidR="00B65464" w:rsidRPr="00DE5824" w:rsidTr="00403CF3">
        <w:trPr>
          <w:jc w:val="center"/>
        </w:trPr>
        <w:tc>
          <w:tcPr>
            <w:tcW w:w="1728" w:type="dxa"/>
          </w:tcPr>
          <w:p w:rsidR="00B65464" w:rsidRPr="00DE5824" w:rsidRDefault="00B65464" w:rsidP="00403CF3">
            <w:pPr>
              <w:pStyle w:val="Quadros"/>
              <w:jc w:val="center"/>
            </w:pPr>
            <w:r w:rsidRPr="00DE5824">
              <w:t>Suíça</w:t>
            </w:r>
          </w:p>
        </w:tc>
        <w:tc>
          <w:tcPr>
            <w:tcW w:w="1729" w:type="dxa"/>
          </w:tcPr>
          <w:p w:rsidR="00B65464" w:rsidRPr="00DE5824" w:rsidRDefault="00B65464" w:rsidP="00403CF3">
            <w:pPr>
              <w:pStyle w:val="Quadros"/>
              <w:jc w:val="center"/>
            </w:pPr>
            <w:r w:rsidRPr="00DE5824">
              <w:t>1</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w:t>
            </w:r>
          </w:p>
        </w:tc>
      </w:tr>
      <w:tr w:rsidR="00B65464" w:rsidRPr="00DE5824" w:rsidTr="00403CF3">
        <w:trPr>
          <w:jc w:val="center"/>
        </w:trPr>
        <w:tc>
          <w:tcPr>
            <w:tcW w:w="1728" w:type="dxa"/>
          </w:tcPr>
          <w:p w:rsidR="00B65464" w:rsidRPr="00DE5824" w:rsidRDefault="00B65464" w:rsidP="00403CF3">
            <w:pPr>
              <w:pStyle w:val="Quadros"/>
              <w:jc w:val="center"/>
            </w:pPr>
            <w:r w:rsidRPr="00DE5824">
              <w:t>Togo</w:t>
            </w:r>
          </w:p>
        </w:tc>
        <w:tc>
          <w:tcPr>
            <w:tcW w:w="1729" w:type="dxa"/>
          </w:tcPr>
          <w:p w:rsidR="00B65464" w:rsidRPr="00DE5824" w:rsidRDefault="00B65464" w:rsidP="00403CF3">
            <w:pPr>
              <w:pStyle w:val="Quadros"/>
              <w:jc w:val="center"/>
            </w:pPr>
            <w:r w:rsidRPr="00DE5824">
              <w:t>5</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5</w:t>
            </w:r>
          </w:p>
        </w:tc>
      </w:tr>
      <w:tr w:rsidR="00B65464" w:rsidRPr="00DE5824" w:rsidTr="00403CF3">
        <w:trPr>
          <w:jc w:val="center"/>
        </w:trPr>
        <w:tc>
          <w:tcPr>
            <w:tcW w:w="1728" w:type="dxa"/>
          </w:tcPr>
          <w:p w:rsidR="00B65464" w:rsidRPr="00DE5824" w:rsidRDefault="00B65464" w:rsidP="00403CF3">
            <w:pPr>
              <w:pStyle w:val="Quadros"/>
              <w:jc w:val="center"/>
            </w:pPr>
            <w:r w:rsidRPr="00DE5824">
              <w:t>Tunísia</w:t>
            </w:r>
          </w:p>
        </w:tc>
        <w:tc>
          <w:tcPr>
            <w:tcW w:w="1729" w:type="dxa"/>
          </w:tcPr>
          <w:p w:rsidR="00B65464" w:rsidRPr="00DE5824" w:rsidRDefault="00B65464" w:rsidP="00403CF3">
            <w:pPr>
              <w:pStyle w:val="Quadros"/>
              <w:jc w:val="center"/>
            </w:pPr>
            <w:r w:rsidRPr="00DE5824">
              <w:t>10</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10</w:t>
            </w:r>
          </w:p>
        </w:tc>
      </w:tr>
      <w:tr w:rsidR="00B65464" w:rsidRPr="00DE5824" w:rsidTr="00403CF3">
        <w:trPr>
          <w:jc w:val="center"/>
        </w:trPr>
        <w:tc>
          <w:tcPr>
            <w:tcW w:w="1728" w:type="dxa"/>
          </w:tcPr>
          <w:p w:rsidR="00B65464" w:rsidRPr="00DE5824" w:rsidRDefault="00B65464" w:rsidP="00403CF3">
            <w:pPr>
              <w:pStyle w:val="Quadros"/>
              <w:jc w:val="center"/>
            </w:pPr>
            <w:r w:rsidRPr="00DE5824">
              <w:t>Ucrânia</w:t>
            </w:r>
          </w:p>
        </w:tc>
        <w:tc>
          <w:tcPr>
            <w:tcW w:w="1729" w:type="dxa"/>
          </w:tcPr>
          <w:p w:rsidR="00B65464" w:rsidRPr="00DE5824" w:rsidRDefault="00B65464" w:rsidP="00403CF3">
            <w:pPr>
              <w:pStyle w:val="Quadros"/>
              <w:jc w:val="center"/>
            </w:pPr>
            <w:r w:rsidRPr="00DE5824">
              <w:t>22</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22</w:t>
            </w:r>
          </w:p>
        </w:tc>
      </w:tr>
      <w:tr w:rsidR="00B65464" w:rsidRPr="00DE5824" w:rsidTr="00403CF3">
        <w:trPr>
          <w:jc w:val="center"/>
        </w:trPr>
        <w:tc>
          <w:tcPr>
            <w:tcW w:w="1728" w:type="dxa"/>
          </w:tcPr>
          <w:p w:rsidR="00B65464" w:rsidRPr="00DE5824" w:rsidRDefault="00B65464" w:rsidP="00403CF3">
            <w:pPr>
              <w:pStyle w:val="Quadros"/>
              <w:jc w:val="center"/>
            </w:pPr>
            <w:r w:rsidRPr="00DE5824">
              <w:t>Vietname</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2</w:t>
            </w:r>
          </w:p>
        </w:tc>
        <w:tc>
          <w:tcPr>
            <w:tcW w:w="1729" w:type="dxa"/>
          </w:tcPr>
          <w:p w:rsidR="00B65464" w:rsidRPr="00DE5824" w:rsidRDefault="00B65464" w:rsidP="00403CF3">
            <w:pPr>
              <w:pStyle w:val="Quadros"/>
              <w:jc w:val="center"/>
            </w:pPr>
            <w:r w:rsidRPr="00DE5824">
              <w:t>2</w:t>
            </w:r>
          </w:p>
        </w:tc>
      </w:tr>
      <w:tr w:rsidR="00B65464" w:rsidRPr="00DE5824" w:rsidTr="00403CF3">
        <w:trPr>
          <w:jc w:val="center"/>
        </w:trPr>
        <w:tc>
          <w:tcPr>
            <w:tcW w:w="1728" w:type="dxa"/>
          </w:tcPr>
          <w:p w:rsidR="00B65464" w:rsidRPr="00DE5824" w:rsidRDefault="00B65464" w:rsidP="00403CF3">
            <w:pPr>
              <w:pStyle w:val="Quadros"/>
              <w:jc w:val="center"/>
            </w:pPr>
            <w:r w:rsidRPr="00DE5824">
              <w:t>Zimbabué</w:t>
            </w:r>
          </w:p>
        </w:tc>
        <w:tc>
          <w:tcPr>
            <w:tcW w:w="1729" w:type="dxa"/>
          </w:tcPr>
          <w:p w:rsidR="00B65464" w:rsidRPr="00DE5824" w:rsidRDefault="00B65464" w:rsidP="00403CF3">
            <w:pPr>
              <w:pStyle w:val="Quadros"/>
              <w:jc w:val="center"/>
            </w:pPr>
            <w:r w:rsidRPr="00DE5824">
              <w:t>4</w:t>
            </w:r>
          </w:p>
        </w:tc>
        <w:tc>
          <w:tcPr>
            <w:tcW w:w="1729" w:type="dxa"/>
          </w:tcPr>
          <w:p w:rsidR="00B65464" w:rsidRPr="00DE5824" w:rsidRDefault="00B65464" w:rsidP="00403CF3">
            <w:pPr>
              <w:pStyle w:val="Quadros"/>
              <w:jc w:val="center"/>
            </w:pPr>
            <w:r w:rsidRPr="00DE5824">
              <w:t>3</w:t>
            </w:r>
          </w:p>
        </w:tc>
        <w:tc>
          <w:tcPr>
            <w:tcW w:w="1729" w:type="dxa"/>
          </w:tcPr>
          <w:p w:rsidR="00B65464" w:rsidRPr="00DE5824" w:rsidRDefault="00B65464" w:rsidP="00403CF3">
            <w:pPr>
              <w:pStyle w:val="Quadros"/>
              <w:jc w:val="center"/>
            </w:pPr>
            <w:r w:rsidRPr="00DE5824">
              <w:t>-</w:t>
            </w:r>
          </w:p>
        </w:tc>
        <w:tc>
          <w:tcPr>
            <w:tcW w:w="1729" w:type="dxa"/>
          </w:tcPr>
          <w:p w:rsidR="00B65464" w:rsidRPr="00DE5824" w:rsidRDefault="00B65464" w:rsidP="00403CF3">
            <w:pPr>
              <w:pStyle w:val="Quadros"/>
              <w:jc w:val="center"/>
            </w:pPr>
            <w:r w:rsidRPr="00DE5824">
              <w:t>7</w:t>
            </w:r>
          </w:p>
        </w:tc>
      </w:tr>
      <w:tr w:rsidR="00B65464" w:rsidRPr="00DE5824" w:rsidTr="00403CF3">
        <w:trPr>
          <w:jc w:val="center"/>
        </w:trPr>
        <w:tc>
          <w:tcPr>
            <w:tcW w:w="1728" w:type="dxa"/>
          </w:tcPr>
          <w:p w:rsidR="00B65464" w:rsidRPr="00DE5824" w:rsidRDefault="00B65464" w:rsidP="00403CF3">
            <w:pPr>
              <w:pStyle w:val="Quadros"/>
              <w:jc w:val="center"/>
            </w:pPr>
            <w:r w:rsidRPr="00DE5824">
              <w:t>Total</w:t>
            </w:r>
          </w:p>
        </w:tc>
        <w:tc>
          <w:tcPr>
            <w:tcW w:w="1729" w:type="dxa"/>
          </w:tcPr>
          <w:p w:rsidR="00B65464" w:rsidRPr="00DE5824" w:rsidRDefault="00B65464" w:rsidP="00403CF3">
            <w:pPr>
              <w:pStyle w:val="Quadros"/>
              <w:jc w:val="center"/>
            </w:pPr>
            <w:r w:rsidRPr="00DE5824">
              <w:t>1670</w:t>
            </w:r>
          </w:p>
        </w:tc>
        <w:tc>
          <w:tcPr>
            <w:tcW w:w="1729" w:type="dxa"/>
          </w:tcPr>
          <w:p w:rsidR="00B65464" w:rsidRPr="00DE5824" w:rsidRDefault="00B65464" w:rsidP="00403CF3">
            <w:pPr>
              <w:pStyle w:val="Quadros"/>
              <w:jc w:val="center"/>
            </w:pPr>
            <w:r w:rsidRPr="00DE5824">
              <w:t>69</w:t>
            </w:r>
          </w:p>
        </w:tc>
        <w:tc>
          <w:tcPr>
            <w:tcW w:w="1729" w:type="dxa"/>
          </w:tcPr>
          <w:p w:rsidR="00B65464" w:rsidRPr="00DE5824" w:rsidRDefault="00B65464" w:rsidP="00403CF3">
            <w:pPr>
              <w:pStyle w:val="Quadros"/>
              <w:jc w:val="center"/>
            </w:pPr>
            <w:r w:rsidRPr="00DE5824">
              <w:t>218</w:t>
            </w:r>
          </w:p>
        </w:tc>
        <w:tc>
          <w:tcPr>
            <w:tcW w:w="1729" w:type="dxa"/>
          </w:tcPr>
          <w:p w:rsidR="00B65464" w:rsidRPr="00DE5824" w:rsidRDefault="00B65464" w:rsidP="00403CF3">
            <w:pPr>
              <w:pStyle w:val="Quadros"/>
              <w:jc w:val="center"/>
            </w:pPr>
            <w:r w:rsidRPr="00DE5824">
              <w:t>1974</w:t>
            </w:r>
          </w:p>
        </w:tc>
      </w:tr>
    </w:tbl>
    <w:p w:rsidR="00B65464" w:rsidRPr="00DE5824" w:rsidRDefault="00B65464" w:rsidP="00B65464">
      <w:pPr>
        <w:pStyle w:val="Quadros"/>
      </w:pPr>
      <w:r w:rsidRPr="00B65464">
        <w:t>Fonte:</w:t>
      </w:r>
      <w:r>
        <w:t xml:space="preserve"> INABE (2011</w:t>
      </w:r>
      <w:r w:rsidRPr="00DE5824">
        <w:t>)</w:t>
      </w:r>
    </w:p>
    <w:p w:rsidR="00B65464" w:rsidRPr="00DE5824" w:rsidRDefault="00B65464" w:rsidP="00403CF3">
      <w:pPr>
        <w:pStyle w:val="Quadros"/>
        <w:jc w:val="center"/>
        <w:rPr>
          <w:b/>
          <w:lang w:eastAsia="pt-PT"/>
        </w:rPr>
      </w:pPr>
    </w:p>
    <w:p w:rsidR="00B65464" w:rsidRDefault="00B65464" w:rsidP="00403CF3">
      <w:pPr>
        <w:pStyle w:val="Quadros"/>
        <w:jc w:val="center"/>
        <w:rPr>
          <w:b/>
          <w:lang w:eastAsia="pt-PT"/>
        </w:rPr>
      </w:pPr>
    </w:p>
    <w:p w:rsidR="00B65464" w:rsidRPr="00D22FD8" w:rsidRDefault="00B65464" w:rsidP="00E21D72">
      <w:pPr>
        <w:tabs>
          <w:tab w:val="left" w:pos="6439"/>
        </w:tabs>
        <w:spacing w:after="0" w:line="360" w:lineRule="auto"/>
        <w:ind w:firstLine="900"/>
        <w:jc w:val="both"/>
        <w:rPr>
          <w:rFonts w:ascii="Times New Roman" w:hAnsi="Times New Roman"/>
          <w:sz w:val="24"/>
          <w:szCs w:val="24"/>
          <w:lang w:eastAsia="pt-PT"/>
        </w:rPr>
      </w:pPr>
      <w:r w:rsidRPr="00CF447D">
        <w:rPr>
          <w:rFonts w:ascii="Times New Roman" w:hAnsi="Times New Roman"/>
          <w:sz w:val="24"/>
          <w:szCs w:val="24"/>
          <w:lang w:eastAsia="pt-PT"/>
        </w:rPr>
        <w:t>Cuba aparece assim como o país que acolhe atualmente o maior número de bolseiros angolanos, com 728 estudantes. Segue-se a Rússia com 312 bolseiros. Segundo um responsável do INABE,</w:t>
      </w:r>
      <w:r>
        <w:rPr>
          <w:rFonts w:ascii="Times New Roman" w:hAnsi="Times New Roman"/>
          <w:sz w:val="24"/>
          <w:szCs w:val="24"/>
          <w:lang w:eastAsia="pt-PT"/>
        </w:rPr>
        <w:t xml:space="preserve"> o</w:t>
      </w:r>
      <w:r w:rsidRPr="00D22FD8">
        <w:rPr>
          <w:rFonts w:ascii="Times New Roman" w:hAnsi="Times New Roman"/>
          <w:sz w:val="24"/>
          <w:szCs w:val="24"/>
          <w:lang w:eastAsia="pt-PT"/>
        </w:rPr>
        <w:t xml:space="preserve"> relacionamento com Cuba intensificou-se nos últimos anos, sobretudo em áreas sociais como a saúde e a educação</w:t>
      </w:r>
      <w:r>
        <w:rPr>
          <w:rFonts w:ascii="Times New Roman" w:hAnsi="Times New Roman"/>
          <w:sz w:val="24"/>
          <w:szCs w:val="24"/>
          <w:lang w:eastAsia="pt-PT"/>
        </w:rPr>
        <w:t>:</w:t>
      </w:r>
    </w:p>
    <w:p w:rsidR="00B65464" w:rsidRPr="00E21D72" w:rsidRDefault="00B65464" w:rsidP="00A52F43">
      <w:pPr>
        <w:spacing w:after="0" w:line="240" w:lineRule="auto"/>
        <w:ind w:left="2880" w:right="44"/>
        <w:jc w:val="both"/>
        <w:rPr>
          <w:rFonts w:ascii="Times New Roman" w:hAnsi="Times New Roman"/>
          <w:i/>
          <w:lang w:eastAsia="pt-PT"/>
        </w:rPr>
      </w:pPr>
      <w:r w:rsidRPr="00A52F43">
        <w:rPr>
          <w:rFonts w:ascii="Times New Roman" w:hAnsi="Times New Roman"/>
          <w:lang w:eastAsia="pt-PT"/>
        </w:rPr>
        <w:t>Depois daquele período em que os cubanos tiveram que sair de Angola tivemos muita dificuldade em substituí-los nas áreas sociais, sobretudo os médicos. Mas agora estão a regressar outra vez. Tivemos que pedir para eles virem outra vez porque continuamos a não conseguir pessoas formadas suficientes para</w:t>
      </w:r>
      <w:r w:rsidRPr="00E21D72">
        <w:rPr>
          <w:rFonts w:ascii="Times New Roman" w:hAnsi="Times New Roman"/>
          <w:i/>
          <w:lang w:eastAsia="pt-PT"/>
        </w:rPr>
        <w:t xml:space="preserve"> </w:t>
      </w:r>
      <w:r w:rsidRPr="00A52F43">
        <w:rPr>
          <w:rFonts w:ascii="Times New Roman" w:hAnsi="Times New Roman"/>
          <w:lang w:eastAsia="pt-PT"/>
        </w:rPr>
        <w:t xml:space="preserve">trabalhar. Sobretudo no interior do país. Os portugueses e os brasileiros só aceitam viver na cidade, com bom ordenado, casa </w:t>
      </w:r>
      <w:r w:rsidRPr="00A52F43">
        <w:rPr>
          <w:rFonts w:ascii="Times New Roman" w:hAnsi="Times New Roman"/>
          <w:lang w:eastAsia="pt-PT"/>
        </w:rPr>
        <w:lastRenderedPageBreak/>
        <w:t>e carro pago. Os cubanos não, vêm para cá e não recebem quase nada porque estão aqui em missão de Estado, a servir o país deles e nós precisamos disso. Angola não é só Luanda. Temos que tratar também das províncias (responsável INABE).</w:t>
      </w:r>
    </w:p>
    <w:p w:rsidR="00B65464" w:rsidRPr="00D22FD8" w:rsidRDefault="00B65464" w:rsidP="00E21D72">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 xml:space="preserve">Segundo o mesmo responsável do INABE, fica menos dispendioso para o </w:t>
      </w:r>
      <w:r>
        <w:rPr>
          <w:rFonts w:ascii="Times New Roman" w:hAnsi="Times New Roman"/>
          <w:sz w:val="24"/>
          <w:szCs w:val="24"/>
          <w:lang w:eastAsia="pt-PT"/>
        </w:rPr>
        <w:t>Estado</w:t>
      </w:r>
      <w:r w:rsidRPr="00D22FD8">
        <w:rPr>
          <w:rFonts w:ascii="Times New Roman" w:hAnsi="Times New Roman"/>
          <w:sz w:val="24"/>
          <w:szCs w:val="24"/>
          <w:lang w:eastAsia="pt-PT"/>
        </w:rPr>
        <w:t xml:space="preserve"> angolano enviar os seus bolseiros para Cuba, para além que está mais assegurado o seu regresso ao país</w:t>
      </w:r>
      <w:r>
        <w:rPr>
          <w:rFonts w:ascii="Times New Roman" w:hAnsi="Times New Roman"/>
          <w:sz w:val="24"/>
          <w:szCs w:val="24"/>
          <w:lang w:eastAsia="pt-PT"/>
        </w:rPr>
        <w:t xml:space="preserve"> depois de concluída a formação:</w:t>
      </w:r>
    </w:p>
    <w:p w:rsidR="00B65464" w:rsidRPr="00A52F43" w:rsidRDefault="00B65464" w:rsidP="00A52F43">
      <w:pPr>
        <w:spacing w:after="0" w:line="240" w:lineRule="auto"/>
        <w:ind w:left="2880" w:right="44"/>
        <w:jc w:val="both"/>
        <w:rPr>
          <w:rFonts w:ascii="Times New Roman" w:hAnsi="Times New Roman"/>
          <w:lang w:eastAsia="pt-PT"/>
        </w:rPr>
      </w:pPr>
      <w:r w:rsidRPr="00A52F43">
        <w:rPr>
          <w:rFonts w:ascii="Times New Roman" w:hAnsi="Times New Roman"/>
          <w:lang w:eastAsia="pt-PT"/>
        </w:rPr>
        <w:t>Em Portugal ou noutro país da Europa um estudante de licenciatura tem uma bolsa mensal de 750 dólares. Para quem faz mestrado ou doutoramento a bolsa é de 1500 dólares. Em Cuba o estudante de licenciatura tem bolsa de 500 dólares e os de mestrado e doutoramento 1250. E os que vão para Cuba regressam todos. Os que vão para Portugal não, a maioria fica lá (responsável INABE).</w:t>
      </w:r>
    </w:p>
    <w:p w:rsidR="00B65464" w:rsidRPr="00D22FD8" w:rsidRDefault="00B65464" w:rsidP="00E21D72">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 xml:space="preserve">Brasil e Portugal aparecem na quarta (153 bolseiros) e quinta (148 bolseiros) </w:t>
      </w:r>
      <w:r w:rsidRPr="00CF447D">
        <w:rPr>
          <w:rFonts w:ascii="Times New Roman" w:hAnsi="Times New Roman"/>
          <w:sz w:val="24"/>
          <w:szCs w:val="24"/>
          <w:lang w:eastAsia="pt-PT"/>
        </w:rPr>
        <w:t>posição</w:t>
      </w:r>
      <w:r w:rsidRPr="00D22FD8">
        <w:rPr>
          <w:rFonts w:ascii="Times New Roman" w:hAnsi="Times New Roman"/>
          <w:sz w:val="24"/>
          <w:szCs w:val="24"/>
          <w:lang w:eastAsia="pt-PT"/>
        </w:rPr>
        <w:t xml:space="preserve"> respetivamente</w:t>
      </w:r>
      <w:r>
        <w:rPr>
          <w:rFonts w:ascii="Times New Roman" w:hAnsi="Times New Roman"/>
          <w:sz w:val="24"/>
          <w:szCs w:val="24"/>
          <w:lang w:eastAsia="pt-PT"/>
        </w:rPr>
        <w:t>,</w:t>
      </w:r>
      <w:r w:rsidRPr="00D22FD8">
        <w:rPr>
          <w:rFonts w:ascii="Times New Roman" w:hAnsi="Times New Roman"/>
          <w:sz w:val="24"/>
          <w:szCs w:val="24"/>
          <w:lang w:eastAsia="pt-PT"/>
        </w:rPr>
        <w:t xml:space="preserve"> como países de acolhimento dos bolseiros angolanos. </w:t>
      </w:r>
    </w:p>
    <w:p w:rsidR="00B65464" w:rsidRPr="00D22FD8" w:rsidRDefault="00B65464" w:rsidP="00E21D72">
      <w:pPr>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lang w:eastAsia="pt-PT"/>
        </w:rPr>
        <w:t xml:space="preserve">De salientar que estes dados refletem apenas o número de bolseiros do INABE e não o número total de estudantes angolanos no exterior, nomeadamente os bolseiros de empresas, de outras instituições (religiosas e não governamentais) e aqueles que partem com o apoio das famílias. Quanto a estes últimos, a escolha do destino obedece a uma série de critérios. Em primeiro lugar, ter família ou amigos </w:t>
      </w:r>
      <w:r>
        <w:rPr>
          <w:rFonts w:ascii="Times New Roman" w:hAnsi="Times New Roman"/>
          <w:sz w:val="24"/>
          <w:szCs w:val="24"/>
          <w:lang w:eastAsia="pt-PT"/>
        </w:rPr>
        <w:t>nest</w:t>
      </w:r>
      <w:r w:rsidRPr="00D22FD8">
        <w:rPr>
          <w:rFonts w:ascii="Times New Roman" w:hAnsi="Times New Roman"/>
          <w:sz w:val="24"/>
          <w:szCs w:val="24"/>
          <w:lang w:eastAsia="pt-PT"/>
        </w:rPr>
        <w:t xml:space="preserve">e país apresenta-se como um critério fundamental (apoio no período inicial de integração), seguindo-se a situação económica das famílias pois, na maioria dos casos, </w:t>
      </w:r>
      <w:r>
        <w:rPr>
          <w:rFonts w:ascii="Times New Roman" w:hAnsi="Times New Roman"/>
          <w:sz w:val="24"/>
          <w:szCs w:val="24"/>
          <w:lang w:eastAsia="pt-PT"/>
        </w:rPr>
        <w:t>estas</w:t>
      </w:r>
      <w:r w:rsidRPr="00D22FD8">
        <w:rPr>
          <w:rFonts w:ascii="Times New Roman" w:hAnsi="Times New Roman"/>
          <w:sz w:val="24"/>
          <w:szCs w:val="24"/>
          <w:lang w:eastAsia="pt-PT"/>
        </w:rPr>
        <w:t xml:space="preserve"> têm que elaborar estratégias (aluguer da casa, bem como pequenos negócios que complementam o orçamento familiar) para financiar a formação dos seus descendentes no exterior. </w:t>
      </w:r>
    </w:p>
    <w:p w:rsidR="00B65464" w:rsidRPr="00D22FD8" w:rsidRDefault="00B65464" w:rsidP="00E21D72">
      <w:pPr>
        <w:spacing w:after="0" w:line="360" w:lineRule="auto"/>
        <w:ind w:firstLine="900"/>
        <w:jc w:val="both"/>
        <w:rPr>
          <w:rFonts w:ascii="Times New Roman" w:hAnsi="Times New Roman"/>
          <w:sz w:val="24"/>
          <w:szCs w:val="24"/>
        </w:rPr>
      </w:pPr>
      <w:r w:rsidRPr="00D22FD8">
        <w:rPr>
          <w:rFonts w:ascii="Times New Roman" w:hAnsi="Times New Roman"/>
          <w:sz w:val="24"/>
          <w:szCs w:val="24"/>
        </w:rPr>
        <w:t xml:space="preserve">Em 2009, o número de estudantes universitários que se encontravam no exterior sem bolsa do INABE era superior ao número de bolseiros daquela instituição. </w:t>
      </w:r>
    </w:p>
    <w:p w:rsidR="00B65464" w:rsidRDefault="00B65464" w:rsidP="00403CF3">
      <w:pPr>
        <w:spacing w:after="0" w:line="240" w:lineRule="auto"/>
        <w:jc w:val="center"/>
        <w:rPr>
          <w:rFonts w:eastAsia="SimSun"/>
          <w:b/>
          <w:bCs/>
          <w:color w:val="4F81BD"/>
          <w:sz w:val="18"/>
          <w:szCs w:val="18"/>
          <w:lang w:eastAsia="zh-CN"/>
        </w:rPr>
      </w:pPr>
      <w:bookmarkStart w:id="64" w:name="_Toc321218237"/>
    </w:p>
    <w:p w:rsidR="00B65464" w:rsidRDefault="00B65464" w:rsidP="00403CF3">
      <w:pPr>
        <w:spacing w:after="0" w:line="240" w:lineRule="auto"/>
        <w:rPr>
          <w:rFonts w:ascii="Times New Roman" w:eastAsia="SimSun" w:hAnsi="Times New Roman"/>
          <w:bCs/>
          <w:lang w:eastAsia="zh-CN"/>
        </w:rPr>
      </w:pPr>
      <w:r>
        <w:br w:type="page"/>
      </w:r>
    </w:p>
    <w:p w:rsidR="00B65464" w:rsidRPr="00D22FD8" w:rsidRDefault="00B65464" w:rsidP="00403CF3">
      <w:pPr>
        <w:pStyle w:val="legendastese"/>
      </w:pPr>
      <w:r>
        <w:lastRenderedPageBreak/>
        <w:t xml:space="preserve">Quadro 6. </w:t>
      </w:r>
      <w:r w:rsidRPr="00995E28">
        <w:t>Distribuição dos estudantes angolanos no exterior (não bolseiros do INABE) – 2009</w:t>
      </w:r>
      <w:bookmarkEnd w:id="64"/>
    </w:p>
    <w:tbl>
      <w:tblPr>
        <w:tblStyle w:val="Tabelacomgrelha"/>
        <w:tblW w:w="0" w:type="auto"/>
        <w:tblLook w:val="04A0" w:firstRow="1" w:lastRow="0" w:firstColumn="1" w:lastColumn="0" w:noHBand="0" w:noVBand="1"/>
      </w:tblPr>
      <w:tblGrid>
        <w:gridCol w:w="2127"/>
        <w:gridCol w:w="2128"/>
        <w:gridCol w:w="2128"/>
        <w:gridCol w:w="2111"/>
      </w:tblGrid>
      <w:tr w:rsidR="00B65464" w:rsidRPr="001E1A09" w:rsidTr="00403CF3">
        <w:tc>
          <w:tcPr>
            <w:tcW w:w="2161" w:type="dxa"/>
            <w:shd w:val="clear" w:color="auto" w:fill="A6A6A6" w:themeFill="background1" w:themeFillShade="A6"/>
          </w:tcPr>
          <w:p w:rsidR="00B65464" w:rsidRPr="001E1A09" w:rsidRDefault="00B65464" w:rsidP="00403CF3">
            <w:pPr>
              <w:pStyle w:val="Quadros"/>
              <w:rPr>
                <w:b/>
              </w:rPr>
            </w:pPr>
            <w:r w:rsidRPr="001E1A09">
              <w:rPr>
                <w:b/>
              </w:rPr>
              <w:t>País</w:t>
            </w:r>
          </w:p>
        </w:tc>
        <w:tc>
          <w:tcPr>
            <w:tcW w:w="2161" w:type="dxa"/>
            <w:shd w:val="clear" w:color="auto" w:fill="A6A6A6" w:themeFill="background1" w:themeFillShade="A6"/>
          </w:tcPr>
          <w:p w:rsidR="00B65464" w:rsidRPr="001E1A09" w:rsidRDefault="00B65464" w:rsidP="00403CF3">
            <w:pPr>
              <w:pStyle w:val="Quadros"/>
              <w:rPr>
                <w:b/>
              </w:rPr>
            </w:pPr>
            <w:r w:rsidRPr="001E1A09">
              <w:rPr>
                <w:b/>
              </w:rPr>
              <w:t>Graduação</w:t>
            </w:r>
          </w:p>
        </w:tc>
        <w:tc>
          <w:tcPr>
            <w:tcW w:w="2161" w:type="dxa"/>
            <w:shd w:val="clear" w:color="auto" w:fill="A6A6A6" w:themeFill="background1" w:themeFillShade="A6"/>
          </w:tcPr>
          <w:p w:rsidR="00B65464" w:rsidRPr="001E1A09" w:rsidRDefault="00B65464" w:rsidP="00403CF3">
            <w:pPr>
              <w:pStyle w:val="Quadros"/>
              <w:rPr>
                <w:b/>
              </w:rPr>
            </w:pPr>
            <w:r w:rsidRPr="001E1A09">
              <w:rPr>
                <w:b/>
              </w:rPr>
              <w:t>Pós-Graduação</w:t>
            </w:r>
          </w:p>
        </w:tc>
        <w:tc>
          <w:tcPr>
            <w:tcW w:w="2161" w:type="dxa"/>
            <w:shd w:val="clear" w:color="auto" w:fill="A6A6A6" w:themeFill="background1" w:themeFillShade="A6"/>
          </w:tcPr>
          <w:p w:rsidR="00B65464" w:rsidRPr="001E1A09" w:rsidRDefault="00B65464" w:rsidP="00403CF3">
            <w:pPr>
              <w:pStyle w:val="Quadros"/>
              <w:rPr>
                <w:b/>
              </w:rPr>
            </w:pPr>
            <w:r w:rsidRPr="001E1A09">
              <w:rPr>
                <w:b/>
              </w:rPr>
              <w:t>Total</w:t>
            </w:r>
          </w:p>
        </w:tc>
      </w:tr>
      <w:tr w:rsidR="00B65464" w:rsidRPr="001E1A09" w:rsidTr="00403CF3">
        <w:tc>
          <w:tcPr>
            <w:tcW w:w="2161" w:type="dxa"/>
          </w:tcPr>
          <w:p w:rsidR="00B65464" w:rsidRPr="001E1A09" w:rsidRDefault="00B65464" w:rsidP="00403CF3">
            <w:pPr>
              <w:pStyle w:val="Quadros"/>
            </w:pPr>
            <w:r w:rsidRPr="001E1A09">
              <w:t>África do Sul</w:t>
            </w:r>
          </w:p>
        </w:tc>
        <w:tc>
          <w:tcPr>
            <w:tcW w:w="2161" w:type="dxa"/>
          </w:tcPr>
          <w:p w:rsidR="00B65464" w:rsidRPr="001E1A09" w:rsidRDefault="00B65464" w:rsidP="00403CF3">
            <w:pPr>
              <w:pStyle w:val="Quadros"/>
              <w:jc w:val="center"/>
            </w:pPr>
            <w:r w:rsidRPr="001E1A09">
              <w:t>15</w:t>
            </w:r>
          </w:p>
        </w:tc>
        <w:tc>
          <w:tcPr>
            <w:tcW w:w="2161" w:type="dxa"/>
          </w:tcPr>
          <w:p w:rsidR="00B65464" w:rsidRPr="001E1A09" w:rsidRDefault="00B65464" w:rsidP="00403CF3">
            <w:pPr>
              <w:pStyle w:val="Quadros"/>
              <w:jc w:val="center"/>
            </w:pPr>
            <w:r w:rsidRPr="001E1A09">
              <w:t>60</w:t>
            </w:r>
          </w:p>
        </w:tc>
        <w:tc>
          <w:tcPr>
            <w:tcW w:w="2161" w:type="dxa"/>
          </w:tcPr>
          <w:p w:rsidR="00B65464" w:rsidRPr="001E1A09" w:rsidRDefault="00B65464" w:rsidP="00403CF3">
            <w:pPr>
              <w:pStyle w:val="Quadros"/>
              <w:jc w:val="center"/>
            </w:pPr>
            <w:r w:rsidRPr="001E1A09">
              <w:t>75</w:t>
            </w:r>
          </w:p>
        </w:tc>
      </w:tr>
      <w:tr w:rsidR="00B65464" w:rsidRPr="001E1A09" w:rsidTr="00403CF3">
        <w:tc>
          <w:tcPr>
            <w:tcW w:w="2161" w:type="dxa"/>
          </w:tcPr>
          <w:p w:rsidR="00B65464" w:rsidRPr="001E1A09" w:rsidRDefault="00B65464" w:rsidP="00403CF3">
            <w:pPr>
              <w:pStyle w:val="Quadros"/>
            </w:pPr>
            <w:r w:rsidRPr="001E1A09">
              <w:t>Argélia</w:t>
            </w:r>
          </w:p>
        </w:tc>
        <w:tc>
          <w:tcPr>
            <w:tcW w:w="2161" w:type="dxa"/>
          </w:tcPr>
          <w:p w:rsidR="00B65464" w:rsidRPr="001E1A09" w:rsidRDefault="00B65464" w:rsidP="00403CF3">
            <w:pPr>
              <w:pStyle w:val="Quadros"/>
              <w:jc w:val="center"/>
            </w:pPr>
            <w:r w:rsidRPr="001E1A09">
              <w:t>10</w:t>
            </w:r>
          </w:p>
        </w:tc>
        <w:tc>
          <w:tcPr>
            <w:tcW w:w="2161" w:type="dxa"/>
          </w:tcPr>
          <w:p w:rsidR="00B65464" w:rsidRPr="001E1A09" w:rsidRDefault="00B65464" w:rsidP="00403CF3">
            <w:pPr>
              <w:pStyle w:val="Quadros"/>
              <w:jc w:val="center"/>
            </w:pPr>
            <w:r w:rsidRPr="001E1A09">
              <w:t>-</w:t>
            </w:r>
          </w:p>
        </w:tc>
        <w:tc>
          <w:tcPr>
            <w:tcW w:w="2161" w:type="dxa"/>
          </w:tcPr>
          <w:p w:rsidR="00B65464" w:rsidRPr="001E1A09" w:rsidRDefault="00B65464" w:rsidP="00403CF3">
            <w:pPr>
              <w:pStyle w:val="Quadros"/>
              <w:jc w:val="center"/>
            </w:pPr>
            <w:r w:rsidRPr="001E1A09">
              <w:t>10</w:t>
            </w:r>
          </w:p>
        </w:tc>
      </w:tr>
      <w:tr w:rsidR="00B65464" w:rsidRPr="001E1A09" w:rsidTr="00403CF3">
        <w:tc>
          <w:tcPr>
            <w:tcW w:w="2161" w:type="dxa"/>
            <w:shd w:val="clear" w:color="auto" w:fill="BFBFBF" w:themeFill="background1" w:themeFillShade="BF"/>
          </w:tcPr>
          <w:p w:rsidR="00B65464" w:rsidRPr="001E1A09" w:rsidRDefault="00B65464" w:rsidP="00403CF3">
            <w:pPr>
              <w:pStyle w:val="Quadros"/>
            </w:pPr>
            <w:r w:rsidRPr="001E1A09">
              <w:t>Brasil</w:t>
            </w:r>
          </w:p>
        </w:tc>
        <w:tc>
          <w:tcPr>
            <w:tcW w:w="2161" w:type="dxa"/>
            <w:shd w:val="clear" w:color="auto" w:fill="BFBFBF" w:themeFill="background1" w:themeFillShade="BF"/>
          </w:tcPr>
          <w:p w:rsidR="00B65464" w:rsidRPr="001E1A09" w:rsidRDefault="00B65464" w:rsidP="00403CF3">
            <w:pPr>
              <w:pStyle w:val="Quadros"/>
              <w:jc w:val="center"/>
            </w:pPr>
            <w:r w:rsidRPr="001E1A09">
              <w:t>70</w:t>
            </w:r>
          </w:p>
        </w:tc>
        <w:tc>
          <w:tcPr>
            <w:tcW w:w="2161" w:type="dxa"/>
            <w:shd w:val="clear" w:color="auto" w:fill="BFBFBF" w:themeFill="background1" w:themeFillShade="BF"/>
          </w:tcPr>
          <w:p w:rsidR="00B65464" w:rsidRPr="001E1A09" w:rsidRDefault="00B65464" w:rsidP="00403CF3">
            <w:pPr>
              <w:pStyle w:val="Quadros"/>
              <w:jc w:val="center"/>
            </w:pPr>
            <w:r w:rsidRPr="001E1A09">
              <w:t>15</w:t>
            </w:r>
          </w:p>
        </w:tc>
        <w:tc>
          <w:tcPr>
            <w:tcW w:w="2161" w:type="dxa"/>
            <w:shd w:val="clear" w:color="auto" w:fill="BFBFBF" w:themeFill="background1" w:themeFillShade="BF"/>
          </w:tcPr>
          <w:p w:rsidR="00B65464" w:rsidRPr="001E1A09" w:rsidRDefault="00B65464" w:rsidP="00403CF3">
            <w:pPr>
              <w:pStyle w:val="Quadros"/>
              <w:jc w:val="center"/>
            </w:pPr>
            <w:r w:rsidRPr="001E1A09">
              <w:t>85</w:t>
            </w:r>
          </w:p>
        </w:tc>
      </w:tr>
      <w:tr w:rsidR="00B65464" w:rsidRPr="001E1A09" w:rsidTr="00403CF3">
        <w:tc>
          <w:tcPr>
            <w:tcW w:w="2161" w:type="dxa"/>
          </w:tcPr>
          <w:p w:rsidR="00B65464" w:rsidRPr="001E1A09" w:rsidRDefault="00B65464" w:rsidP="00403CF3">
            <w:pPr>
              <w:pStyle w:val="Quadros"/>
            </w:pPr>
            <w:r w:rsidRPr="001E1A09">
              <w:t>Canadá</w:t>
            </w:r>
          </w:p>
        </w:tc>
        <w:tc>
          <w:tcPr>
            <w:tcW w:w="2161" w:type="dxa"/>
          </w:tcPr>
          <w:p w:rsidR="00B65464" w:rsidRPr="001E1A09" w:rsidRDefault="00B65464" w:rsidP="00403CF3">
            <w:pPr>
              <w:pStyle w:val="Quadros"/>
              <w:jc w:val="center"/>
            </w:pPr>
            <w:r w:rsidRPr="001E1A09">
              <w:t>5</w:t>
            </w:r>
          </w:p>
        </w:tc>
        <w:tc>
          <w:tcPr>
            <w:tcW w:w="2161" w:type="dxa"/>
          </w:tcPr>
          <w:p w:rsidR="00B65464" w:rsidRPr="001E1A09" w:rsidRDefault="00B65464" w:rsidP="00403CF3">
            <w:pPr>
              <w:pStyle w:val="Quadros"/>
              <w:jc w:val="center"/>
            </w:pPr>
            <w:r w:rsidRPr="001E1A09">
              <w:t>3</w:t>
            </w:r>
          </w:p>
        </w:tc>
        <w:tc>
          <w:tcPr>
            <w:tcW w:w="2161" w:type="dxa"/>
          </w:tcPr>
          <w:p w:rsidR="00B65464" w:rsidRPr="001E1A09" w:rsidRDefault="00B65464" w:rsidP="00403CF3">
            <w:pPr>
              <w:pStyle w:val="Quadros"/>
              <w:jc w:val="center"/>
            </w:pPr>
            <w:r w:rsidRPr="001E1A09">
              <w:t>8</w:t>
            </w:r>
          </w:p>
        </w:tc>
      </w:tr>
      <w:tr w:rsidR="00B65464" w:rsidRPr="001E1A09" w:rsidTr="00403CF3">
        <w:tc>
          <w:tcPr>
            <w:tcW w:w="2161" w:type="dxa"/>
          </w:tcPr>
          <w:p w:rsidR="00B65464" w:rsidRPr="001E1A09" w:rsidRDefault="00B65464" w:rsidP="00403CF3">
            <w:pPr>
              <w:pStyle w:val="Quadros"/>
            </w:pPr>
            <w:r w:rsidRPr="001E1A09">
              <w:t>China</w:t>
            </w:r>
          </w:p>
        </w:tc>
        <w:tc>
          <w:tcPr>
            <w:tcW w:w="2161" w:type="dxa"/>
          </w:tcPr>
          <w:p w:rsidR="00B65464" w:rsidRPr="001E1A09" w:rsidRDefault="00B65464" w:rsidP="00403CF3">
            <w:pPr>
              <w:pStyle w:val="Quadros"/>
              <w:jc w:val="center"/>
            </w:pPr>
            <w:r w:rsidRPr="001E1A09">
              <w:t>10</w:t>
            </w:r>
          </w:p>
        </w:tc>
        <w:tc>
          <w:tcPr>
            <w:tcW w:w="2161" w:type="dxa"/>
          </w:tcPr>
          <w:p w:rsidR="00B65464" w:rsidRPr="001E1A09" w:rsidRDefault="00B65464" w:rsidP="00403CF3">
            <w:pPr>
              <w:pStyle w:val="Quadros"/>
              <w:jc w:val="center"/>
            </w:pPr>
            <w:r w:rsidRPr="001E1A09">
              <w:t>5</w:t>
            </w:r>
          </w:p>
        </w:tc>
        <w:tc>
          <w:tcPr>
            <w:tcW w:w="2161" w:type="dxa"/>
          </w:tcPr>
          <w:p w:rsidR="00B65464" w:rsidRPr="001E1A09" w:rsidRDefault="00B65464" w:rsidP="00403CF3">
            <w:pPr>
              <w:pStyle w:val="Quadros"/>
              <w:jc w:val="center"/>
            </w:pPr>
            <w:r w:rsidRPr="001E1A09">
              <w:t>15</w:t>
            </w:r>
          </w:p>
        </w:tc>
      </w:tr>
      <w:tr w:rsidR="00B65464" w:rsidRPr="001E1A09" w:rsidTr="00403CF3">
        <w:tc>
          <w:tcPr>
            <w:tcW w:w="2161" w:type="dxa"/>
          </w:tcPr>
          <w:p w:rsidR="00B65464" w:rsidRPr="001E1A09" w:rsidRDefault="00B65464" w:rsidP="00403CF3">
            <w:pPr>
              <w:pStyle w:val="Quadros"/>
            </w:pPr>
            <w:r w:rsidRPr="001E1A09">
              <w:t>Congo Brazzaville</w:t>
            </w:r>
          </w:p>
        </w:tc>
        <w:tc>
          <w:tcPr>
            <w:tcW w:w="2161" w:type="dxa"/>
          </w:tcPr>
          <w:p w:rsidR="00B65464" w:rsidRPr="001E1A09" w:rsidRDefault="00B65464" w:rsidP="00403CF3">
            <w:pPr>
              <w:pStyle w:val="Quadros"/>
              <w:jc w:val="center"/>
            </w:pPr>
            <w:r w:rsidRPr="001E1A09">
              <w:t>50</w:t>
            </w:r>
          </w:p>
        </w:tc>
        <w:tc>
          <w:tcPr>
            <w:tcW w:w="2161" w:type="dxa"/>
          </w:tcPr>
          <w:p w:rsidR="00B65464" w:rsidRPr="001E1A09" w:rsidRDefault="00B65464" w:rsidP="00403CF3">
            <w:pPr>
              <w:pStyle w:val="Quadros"/>
              <w:jc w:val="center"/>
            </w:pPr>
            <w:r w:rsidRPr="001E1A09">
              <w:t>-</w:t>
            </w:r>
          </w:p>
        </w:tc>
        <w:tc>
          <w:tcPr>
            <w:tcW w:w="2161" w:type="dxa"/>
          </w:tcPr>
          <w:p w:rsidR="00B65464" w:rsidRPr="001E1A09" w:rsidRDefault="00B65464" w:rsidP="00403CF3">
            <w:pPr>
              <w:pStyle w:val="Quadros"/>
              <w:jc w:val="center"/>
            </w:pPr>
            <w:r w:rsidRPr="001E1A09">
              <w:t>50</w:t>
            </w:r>
          </w:p>
        </w:tc>
      </w:tr>
      <w:tr w:rsidR="00B65464" w:rsidRPr="001E1A09" w:rsidTr="00403CF3">
        <w:tc>
          <w:tcPr>
            <w:tcW w:w="2161" w:type="dxa"/>
          </w:tcPr>
          <w:p w:rsidR="00B65464" w:rsidRPr="001E1A09" w:rsidRDefault="00B65464" w:rsidP="00403CF3">
            <w:pPr>
              <w:pStyle w:val="Quadros"/>
            </w:pPr>
            <w:r w:rsidRPr="001E1A09">
              <w:t>Coreia do Sul</w:t>
            </w:r>
          </w:p>
        </w:tc>
        <w:tc>
          <w:tcPr>
            <w:tcW w:w="2161" w:type="dxa"/>
          </w:tcPr>
          <w:p w:rsidR="00B65464" w:rsidRPr="001E1A09" w:rsidRDefault="00B65464" w:rsidP="00403CF3">
            <w:pPr>
              <w:pStyle w:val="Quadros"/>
              <w:jc w:val="center"/>
            </w:pPr>
            <w:r w:rsidRPr="001E1A09">
              <w:t>5</w:t>
            </w:r>
          </w:p>
        </w:tc>
        <w:tc>
          <w:tcPr>
            <w:tcW w:w="2161" w:type="dxa"/>
          </w:tcPr>
          <w:p w:rsidR="00B65464" w:rsidRPr="001E1A09" w:rsidRDefault="00B65464" w:rsidP="00403CF3">
            <w:pPr>
              <w:pStyle w:val="Quadros"/>
              <w:jc w:val="center"/>
            </w:pPr>
            <w:r w:rsidRPr="001E1A09">
              <w:t>1</w:t>
            </w:r>
          </w:p>
        </w:tc>
        <w:tc>
          <w:tcPr>
            <w:tcW w:w="2161" w:type="dxa"/>
          </w:tcPr>
          <w:p w:rsidR="00B65464" w:rsidRPr="001E1A09" w:rsidRDefault="00B65464" w:rsidP="00403CF3">
            <w:pPr>
              <w:pStyle w:val="Quadros"/>
              <w:jc w:val="center"/>
            </w:pPr>
            <w:r w:rsidRPr="001E1A09">
              <w:t>6</w:t>
            </w:r>
          </w:p>
        </w:tc>
      </w:tr>
      <w:tr w:rsidR="00B65464" w:rsidRPr="001E1A09" w:rsidTr="00403CF3">
        <w:tc>
          <w:tcPr>
            <w:tcW w:w="2161" w:type="dxa"/>
          </w:tcPr>
          <w:p w:rsidR="00B65464" w:rsidRPr="001E1A09" w:rsidRDefault="00B65464" w:rsidP="00403CF3">
            <w:pPr>
              <w:pStyle w:val="Quadros"/>
            </w:pPr>
            <w:r w:rsidRPr="001E1A09">
              <w:t>Cuba</w:t>
            </w:r>
          </w:p>
        </w:tc>
        <w:tc>
          <w:tcPr>
            <w:tcW w:w="2161" w:type="dxa"/>
          </w:tcPr>
          <w:p w:rsidR="00B65464" w:rsidRPr="001E1A09" w:rsidRDefault="00B65464" w:rsidP="00403CF3">
            <w:pPr>
              <w:pStyle w:val="Quadros"/>
              <w:jc w:val="center"/>
            </w:pPr>
            <w:r w:rsidRPr="001E1A09">
              <w:t>50</w:t>
            </w:r>
          </w:p>
        </w:tc>
        <w:tc>
          <w:tcPr>
            <w:tcW w:w="2161" w:type="dxa"/>
          </w:tcPr>
          <w:p w:rsidR="00B65464" w:rsidRPr="001E1A09" w:rsidRDefault="00B65464" w:rsidP="00403CF3">
            <w:pPr>
              <w:pStyle w:val="Quadros"/>
              <w:jc w:val="center"/>
            </w:pPr>
            <w:r w:rsidRPr="001E1A09">
              <w:t>20</w:t>
            </w:r>
          </w:p>
        </w:tc>
        <w:tc>
          <w:tcPr>
            <w:tcW w:w="2161" w:type="dxa"/>
          </w:tcPr>
          <w:p w:rsidR="00B65464" w:rsidRPr="001E1A09" w:rsidRDefault="00B65464" w:rsidP="00403CF3">
            <w:pPr>
              <w:pStyle w:val="Quadros"/>
              <w:jc w:val="center"/>
            </w:pPr>
            <w:r w:rsidRPr="001E1A09">
              <w:t>70</w:t>
            </w:r>
          </w:p>
        </w:tc>
      </w:tr>
      <w:tr w:rsidR="00B65464" w:rsidRPr="001E1A09" w:rsidTr="00403CF3">
        <w:tc>
          <w:tcPr>
            <w:tcW w:w="2161" w:type="dxa"/>
          </w:tcPr>
          <w:p w:rsidR="00B65464" w:rsidRPr="001E1A09" w:rsidRDefault="00B65464" w:rsidP="00403CF3">
            <w:pPr>
              <w:pStyle w:val="Quadros"/>
            </w:pPr>
            <w:r w:rsidRPr="001E1A09">
              <w:t>Eslováquia</w:t>
            </w:r>
          </w:p>
        </w:tc>
        <w:tc>
          <w:tcPr>
            <w:tcW w:w="2161" w:type="dxa"/>
          </w:tcPr>
          <w:p w:rsidR="00B65464" w:rsidRPr="001E1A09" w:rsidRDefault="00B65464" w:rsidP="00403CF3">
            <w:pPr>
              <w:pStyle w:val="Quadros"/>
              <w:jc w:val="center"/>
            </w:pPr>
            <w:r w:rsidRPr="001E1A09">
              <w:t>7</w:t>
            </w:r>
          </w:p>
        </w:tc>
        <w:tc>
          <w:tcPr>
            <w:tcW w:w="2161" w:type="dxa"/>
          </w:tcPr>
          <w:p w:rsidR="00B65464" w:rsidRPr="001E1A09" w:rsidRDefault="00B65464" w:rsidP="00403CF3">
            <w:pPr>
              <w:pStyle w:val="Quadros"/>
              <w:jc w:val="center"/>
            </w:pPr>
            <w:r w:rsidRPr="001E1A09">
              <w:t>5</w:t>
            </w:r>
          </w:p>
        </w:tc>
        <w:tc>
          <w:tcPr>
            <w:tcW w:w="2161" w:type="dxa"/>
          </w:tcPr>
          <w:p w:rsidR="00B65464" w:rsidRPr="001E1A09" w:rsidRDefault="00B65464" w:rsidP="00403CF3">
            <w:pPr>
              <w:pStyle w:val="Quadros"/>
              <w:jc w:val="center"/>
            </w:pPr>
            <w:r w:rsidRPr="001E1A09">
              <w:t>12</w:t>
            </w:r>
          </w:p>
        </w:tc>
      </w:tr>
      <w:tr w:rsidR="00B65464" w:rsidRPr="001E1A09" w:rsidTr="00403CF3">
        <w:tc>
          <w:tcPr>
            <w:tcW w:w="2161" w:type="dxa"/>
          </w:tcPr>
          <w:p w:rsidR="00B65464" w:rsidRPr="001E1A09" w:rsidRDefault="00B65464" w:rsidP="00403CF3">
            <w:pPr>
              <w:pStyle w:val="Quadros"/>
            </w:pPr>
            <w:r w:rsidRPr="001E1A09">
              <w:t>França</w:t>
            </w:r>
          </w:p>
        </w:tc>
        <w:tc>
          <w:tcPr>
            <w:tcW w:w="2161" w:type="dxa"/>
          </w:tcPr>
          <w:p w:rsidR="00B65464" w:rsidRPr="001E1A09" w:rsidRDefault="00B65464" w:rsidP="00403CF3">
            <w:pPr>
              <w:pStyle w:val="Quadros"/>
              <w:jc w:val="center"/>
            </w:pPr>
            <w:r w:rsidRPr="001E1A09">
              <w:t>10</w:t>
            </w:r>
          </w:p>
        </w:tc>
        <w:tc>
          <w:tcPr>
            <w:tcW w:w="2161" w:type="dxa"/>
          </w:tcPr>
          <w:p w:rsidR="00B65464" w:rsidRPr="001E1A09" w:rsidRDefault="00B65464" w:rsidP="00403CF3">
            <w:pPr>
              <w:pStyle w:val="Quadros"/>
              <w:jc w:val="center"/>
            </w:pPr>
            <w:r w:rsidRPr="001E1A09">
              <w:t>7</w:t>
            </w:r>
          </w:p>
        </w:tc>
        <w:tc>
          <w:tcPr>
            <w:tcW w:w="2161" w:type="dxa"/>
          </w:tcPr>
          <w:p w:rsidR="00B65464" w:rsidRPr="001E1A09" w:rsidRDefault="00B65464" w:rsidP="00403CF3">
            <w:pPr>
              <w:pStyle w:val="Quadros"/>
              <w:jc w:val="center"/>
            </w:pPr>
            <w:r w:rsidRPr="001E1A09">
              <w:t>17</w:t>
            </w:r>
          </w:p>
        </w:tc>
      </w:tr>
      <w:tr w:rsidR="00B65464" w:rsidRPr="001E1A09" w:rsidTr="00403CF3">
        <w:tc>
          <w:tcPr>
            <w:tcW w:w="2161" w:type="dxa"/>
          </w:tcPr>
          <w:p w:rsidR="00B65464" w:rsidRPr="001E1A09" w:rsidRDefault="00B65464" w:rsidP="00403CF3">
            <w:pPr>
              <w:pStyle w:val="Quadros"/>
            </w:pPr>
            <w:r w:rsidRPr="001E1A09">
              <w:t>Inglaterra</w:t>
            </w:r>
          </w:p>
        </w:tc>
        <w:tc>
          <w:tcPr>
            <w:tcW w:w="2161" w:type="dxa"/>
          </w:tcPr>
          <w:p w:rsidR="00B65464" w:rsidRPr="001E1A09" w:rsidRDefault="00B65464" w:rsidP="00403CF3">
            <w:pPr>
              <w:pStyle w:val="Quadros"/>
              <w:jc w:val="center"/>
            </w:pPr>
            <w:r w:rsidRPr="001E1A09">
              <w:t>15</w:t>
            </w:r>
          </w:p>
        </w:tc>
        <w:tc>
          <w:tcPr>
            <w:tcW w:w="2161" w:type="dxa"/>
          </w:tcPr>
          <w:p w:rsidR="00B65464" w:rsidRPr="001E1A09" w:rsidRDefault="00B65464" w:rsidP="00403CF3">
            <w:pPr>
              <w:pStyle w:val="Quadros"/>
              <w:jc w:val="center"/>
            </w:pPr>
            <w:r w:rsidRPr="001E1A09">
              <w:t>10</w:t>
            </w:r>
          </w:p>
        </w:tc>
        <w:tc>
          <w:tcPr>
            <w:tcW w:w="2161" w:type="dxa"/>
          </w:tcPr>
          <w:p w:rsidR="00B65464" w:rsidRPr="001E1A09" w:rsidRDefault="00B65464" w:rsidP="00403CF3">
            <w:pPr>
              <w:pStyle w:val="Quadros"/>
              <w:jc w:val="center"/>
            </w:pPr>
            <w:r w:rsidRPr="001E1A09">
              <w:t>25</w:t>
            </w:r>
          </w:p>
        </w:tc>
      </w:tr>
      <w:tr w:rsidR="00B65464" w:rsidRPr="001E1A09" w:rsidTr="00403CF3">
        <w:tc>
          <w:tcPr>
            <w:tcW w:w="2161" w:type="dxa"/>
          </w:tcPr>
          <w:p w:rsidR="00B65464" w:rsidRPr="001E1A09" w:rsidRDefault="00B65464" w:rsidP="00403CF3">
            <w:pPr>
              <w:pStyle w:val="Quadros"/>
            </w:pPr>
            <w:r w:rsidRPr="001E1A09">
              <w:t>Itália</w:t>
            </w:r>
          </w:p>
        </w:tc>
        <w:tc>
          <w:tcPr>
            <w:tcW w:w="2161" w:type="dxa"/>
          </w:tcPr>
          <w:p w:rsidR="00B65464" w:rsidRPr="001E1A09" w:rsidRDefault="00B65464" w:rsidP="00403CF3">
            <w:pPr>
              <w:pStyle w:val="Quadros"/>
              <w:jc w:val="center"/>
            </w:pPr>
            <w:r w:rsidRPr="001E1A09">
              <w:t>10</w:t>
            </w:r>
          </w:p>
        </w:tc>
        <w:tc>
          <w:tcPr>
            <w:tcW w:w="2161" w:type="dxa"/>
          </w:tcPr>
          <w:p w:rsidR="00B65464" w:rsidRPr="001E1A09" w:rsidRDefault="00B65464" w:rsidP="00403CF3">
            <w:pPr>
              <w:pStyle w:val="Quadros"/>
              <w:jc w:val="center"/>
            </w:pPr>
            <w:r w:rsidRPr="001E1A09">
              <w:t>15</w:t>
            </w:r>
          </w:p>
        </w:tc>
        <w:tc>
          <w:tcPr>
            <w:tcW w:w="2161" w:type="dxa"/>
          </w:tcPr>
          <w:p w:rsidR="00B65464" w:rsidRPr="001E1A09" w:rsidRDefault="00B65464" w:rsidP="00403CF3">
            <w:pPr>
              <w:pStyle w:val="Quadros"/>
              <w:jc w:val="center"/>
            </w:pPr>
            <w:r w:rsidRPr="001E1A09">
              <w:t>25</w:t>
            </w:r>
          </w:p>
        </w:tc>
      </w:tr>
      <w:tr w:rsidR="00B65464" w:rsidRPr="001E1A09" w:rsidTr="00403CF3">
        <w:tc>
          <w:tcPr>
            <w:tcW w:w="2161" w:type="dxa"/>
          </w:tcPr>
          <w:p w:rsidR="00B65464" w:rsidRPr="001E1A09" w:rsidRDefault="00B65464" w:rsidP="00403CF3">
            <w:pPr>
              <w:pStyle w:val="Quadros"/>
            </w:pPr>
            <w:r w:rsidRPr="001E1A09">
              <w:t>Marrocos</w:t>
            </w:r>
          </w:p>
        </w:tc>
        <w:tc>
          <w:tcPr>
            <w:tcW w:w="2161" w:type="dxa"/>
          </w:tcPr>
          <w:p w:rsidR="00B65464" w:rsidRPr="001E1A09" w:rsidRDefault="00B65464" w:rsidP="00403CF3">
            <w:pPr>
              <w:pStyle w:val="Quadros"/>
              <w:jc w:val="center"/>
            </w:pPr>
            <w:r w:rsidRPr="001E1A09">
              <w:t>72</w:t>
            </w:r>
          </w:p>
        </w:tc>
        <w:tc>
          <w:tcPr>
            <w:tcW w:w="2161" w:type="dxa"/>
          </w:tcPr>
          <w:p w:rsidR="00B65464" w:rsidRPr="001E1A09" w:rsidRDefault="00B65464" w:rsidP="00403CF3">
            <w:pPr>
              <w:pStyle w:val="Quadros"/>
              <w:jc w:val="center"/>
            </w:pPr>
            <w:r w:rsidRPr="001E1A09">
              <w:t>-</w:t>
            </w:r>
          </w:p>
        </w:tc>
        <w:tc>
          <w:tcPr>
            <w:tcW w:w="2161" w:type="dxa"/>
          </w:tcPr>
          <w:p w:rsidR="00B65464" w:rsidRPr="001E1A09" w:rsidRDefault="00B65464" w:rsidP="00403CF3">
            <w:pPr>
              <w:pStyle w:val="Quadros"/>
              <w:jc w:val="center"/>
            </w:pPr>
            <w:r w:rsidRPr="001E1A09">
              <w:t>72</w:t>
            </w:r>
          </w:p>
        </w:tc>
      </w:tr>
      <w:tr w:rsidR="00B65464" w:rsidRPr="001E1A09" w:rsidTr="0054266C">
        <w:tc>
          <w:tcPr>
            <w:tcW w:w="2161" w:type="dxa"/>
            <w:shd w:val="clear" w:color="auto" w:fill="A6A6A6" w:themeFill="background1" w:themeFillShade="A6"/>
          </w:tcPr>
          <w:p w:rsidR="00B65464" w:rsidRPr="001E1A09" w:rsidRDefault="00B65464" w:rsidP="00403CF3">
            <w:pPr>
              <w:pStyle w:val="Quadros"/>
            </w:pPr>
            <w:r w:rsidRPr="001E1A09">
              <w:t>Namíbia</w:t>
            </w:r>
          </w:p>
        </w:tc>
        <w:tc>
          <w:tcPr>
            <w:tcW w:w="2161" w:type="dxa"/>
            <w:shd w:val="clear" w:color="auto" w:fill="A6A6A6" w:themeFill="background1" w:themeFillShade="A6"/>
          </w:tcPr>
          <w:p w:rsidR="00B65464" w:rsidRPr="001E1A09" w:rsidRDefault="00B65464" w:rsidP="00403CF3">
            <w:pPr>
              <w:pStyle w:val="Quadros"/>
              <w:jc w:val="center"/>
            </w:pPr>
            <w:r w:rsidRPr="001E1A09">
              <w:t>1000</w:t>
            </w:r>
          </w:p>
        </w:tc>
        <w:tc>
          <w:tcPr>
            <w:tcW w:w="2161" w:type="dxa"/>
            <w:shd w:val="clear" w:color="auto" w:fill="A6A6A6" w:themeFill="background1" w:themeFillShade="A6"/>
          </w:tcPr>
          <w:p w:rsidR="00B65464" w:rsidRPr="001E1A09" w:rsidRDefault="00B65464" w:rsidP="00403CF3">
            <w:pPr>
              <w:pStyle w:val="Quadros"/>
              <w:jc w:val="center"/>
            </w:pPr>
            <w:r w:rsidRPr="001E1A09">
              <w:t>-</w:t>
            </w:r>
          </w:p>
        </w:tc>
        <w:tc>
          <w:tcPr>
            <w:tcW w:w="2161" w:type="dxa"/>
            <w:shd w:val="clear" w:color="auto" w:fill="A6A6A6" w:themeFill="background1" w:themeFillShade="A6"/>
          </w:tcPr>
          <w:p w:rsidR="00B65464" w:rsidRPr="001E1A09" w:rsidRDefault="00B65464" w:rsidP="00403CF3">
            <w:pPr>
              <w:pStyle w:val="Quadros"/>
              <w:jc w:val="center"/>
            </w:pPr>
            <w:r w:rsidRPr="001E1A09">
              <w:t>1000</w:t>
            </w:r>
          </w:p>
        </w:tc>
      </w:tr>
      <w:tr w:rsidR="00B65464" w:rsidRPr="001E1A09" w:rsidTr="00403CF3">
        <w:tc>
          <w:tcPr>
            <w:tcW w:w="2161" w:type="dxa"/>
          </w:tcPr>
          <w:p w:rsidR="00B65464" w:rsidRPr="001E1A09" w:rsidRDefault="00B65464" w:rsidP="00403CF3">
            <w:pPr>
              <w:pStyle w:val="Quadros"/>
            </w:pPr>
            <w:r w:rsidRPr="001E1A09">
              <w:t>Polónia</w:t>
            </w:r>
          </w:p>
        </w:tc>
        <w:tc>
          <w:tcPr>
            <w:tcW w:w="2161" w:type="dxa"/>
          </w:tcPr>
          <w:p w:rsidR="00B65464" w:rsidRPr="001E1A09" w:rsidRDefault="00B65464" w:rsidP="00403CF3">
            <w:pPr>
              <w:pStyle w:val="Quadros"/>
              <w:jc w:val="center"/>
            </w:pPr>
            <w:r w:rsidRPr="001E1A09">
              <w:t>20</w:t>
            </w:r>
          </w:p>
        </w:tc>
        <w:tc>
          <w:tcPr>
            <w:tcW w:w="2161" w:type="dxa"/>
          </w:tcPr>
          <w:p w:rsidR="00B65464" w:rsidRPr="001E1A09" w:rsidRDefault="00B65464" w:rsidP="00403CF3">
            <w:pPr>
              <w:pStyle w:val="Quadros"/>
              <w:jc w:val="center"/>
            </w:pPr>
            <w:r w:rsidRPr="001E1A09">
              <w:t>5</w:t>
            </w:r>
          </w:p>
        </w:tc>
        <w:tc>
          <w:tcPr>
            <w:tcW w:w="2161" w:type="dxa"/>
          </w:tcPr>
          <w:p w:rsidR="00B65464" w:rsidRPr="001E1A09" w:rsidRDefault="00B65464" w:rsidP="00403CF3">
            <w:pPr>
              <w:pStyle w:val="Quadros"/>
              <w:jc w:val="center"/>
            </w:pPr>
            <w:r w:rsidRPr="001E1A09">
              <w:t>25</w:t>
            </w:r>
          </w:p>
        </w:tc>
      </w:tr>
      <w:tr w:rsidR="00B65464" w:rsidRPr="001E1A09" w:rsidTr="00403CF3">
        <w:tc>
          <w:tcPr>
            <w:tcW w:w="2161" w:type="dxa"/>
            <w:shd w:val="clear" w:color="auto" w:fill="BFBFBF" w:themeFill="background1" w:themeFillShade="BF"/>
          </w:tcPr>
          <w:p w:rsidR="00B65464" w:rsidRPr="001E1A09" w:rsidRDefault="00B65464" w:rsidP="00403CF3">
            <w:pPr>
              <w:pStyle w:val="Quadros"/>
            </w:pPr>
            <w:r w:rsidRPr="001E1A09">
              <w:t>Portugal</w:t>
            </w:r>
          </w:p>
        </w:tc>
        <w:tc>
          <w:tcPr>
            <w:tcW w:w="2161" w:type="dxa"/>
            <w:shd w:val="clear" w:color="auto" w:fill="BFBFBF" w:themeFill="background1" w:themeFillShade="BF"/>
          </w:tcPr>
          <w:p w:rsidR="00B65464" w:rsidRPr="001E1A09" w:rsidRDefault="00B65464" w:rsidP="00403CF3">
            <w:pPr>
              <w:pStyle w:val="Quadros"/>
              <w:jc w:val="center"/>
            </w:pPr>
            <w:r w:rsidRPr="001E1A09">
              <w:t>205</w:t>
            </w:r>
          </w:p>
        </w:tc>
        <w:tc>
          <w:tcPr>
            <w:tcW w:w="2161" w:type="dxa"/>
            <w:shd w:val="clear" w:color="auto" w:fill="BFBFBF" w:themeFill="background1" w:themeFillShade="BF"/>
          </w:tcPr>
          <w:p w:rsidR="00B65464" w:rsidRPr="001E1A09" w:rsidRDefault="00B65464" w:rsidP="00403CF3">
            <w:pPr>
              <w:pStyle w:val="Quadros"/>
              <w:jc w:val="center"/>
            </w:pPr>
            <w:r w:rsidRPr="001E1A09">
              <w:t>50</w:t>
            </w:r>
          </w:p>
        </w:tc>
        <w:tc>
          <w:tcPr>
            <w:tcW w:w="2161" w:type="dxa"/>
            <w:shd w:val="clear" w:color="auto" w:fill="BFBFBF" w:themeFill="background1" w:themeFillShade="BF"/>
          </w:tcPr>
          <w:p w:rsidR="00B65464" w:rsidRPr="001E1A09" w:rsidRDefault="00B65464" w:rsidP="00403CF3">
            <w:pPr>
              <w:pStyle w:val="Quadros"/>
              <w:jc w:val="center"/>
            </w:pPr>
            <w:r w:rsidRPr="001E1A09">
              <w:t>255</w:t>
            </w:r>
          </w:p>
        </w:tc>
      </w:tr>
      <w:tr w:rsidR="00B65464" w:rsidRPr="001E1A09" w:rsidTr="00403CF3">
        <w:tc>
          <w:tcPr>
            <w:tcW w:w="2161" w:type="dxa"/>
          </w:tcPr>
          <w:p w:rsidR="00B65464" w:rsidRPr="001E1A09" w:rsidRDefault="00B65464" w:rsidP="00403CF3">
            <w:pPr>
              <w:pStyle w:val="Quadros"/>
            </w:pPr>
            <w:r w:rsidRPr="001E1A09">
              <w:t>República Checa</w:t>
            </w:r>
          </w:p>
        </w:tc>
        <w:tc>
          <w:tcPr>
            <w:tcW w:w="2161" w:type="dxa"/>
          </w:tcPr>
          <w:p w:rsidR="00B65464" w:rsidRPr="001E1A09" w:rsidRDefault="00B65464" w:rsidP="00403CF3">
            <w:pPr>
              <w:pStyle w:val="Quadros"/>
              <w:jc w:val="center"/>
            </w:pPr>
            <w:r w:rsidRPr="001E1A09">
              <w:t>25</w:t>
            </w:r>
          </w:p>
        </w:tc>
        <w:tc>
          <w:tcPr>
            <w:tcW w:w="2161" w:type="dxa"/>
          </w:tcPr>
          <w:p w:rsidR="00B65464" w:rsidRPr="001E1A09" w:rsidRDefault="00B65464" w:rsidP="00403CF3">
            <w:pPr>
              <w:pStyle w:val="Quadros"/>
              <w:jc w:val="center"/>
            </w:pPr>
            <w:r w:rsidRPr="001E1A09">
              <w:t>5</w:t>
            </w:r>
          </w:p>
        </w:tc>
        <w:tc>
          <w:tcPr>
            <w:tcW w:w="2161" w:type="dxa"/>
          </w:tcPr>
          <w:p w:rsidR="00B65464" w:rsidRPr="001E1A09" w:rsidRDefault="00B65464" w:rsidP="00403CF3">
            <w:pPr>
              <w:pStyle w:val="Quadros"/>
              <w:jc w:val="center"/>
            </w:pPr>
            <w:r w:rsidRPr="001E1A09">
              <w:t>30</w:t>
            </w:r>
          </w:p>
        </w:tc>
      </w:tr>
      <w:tr w:rsidR="00B65464" w:rsidRPr="001E1A09" w:rsidTr="00403CF3">
        <w:tc>
          <w:tcPr>
            <w:tcW w:w="2161" w:type="dxa"/>
          </w:tcPr>
          <w:p w:rsidR="00B65464" w:rsidRPr="001E1A09" w:rsidRDefault="00B65464" w:rsidP="00403CF3">
            <w:pPr>
              <w:pStyle w:val="Quadros"/>
            </w:pPr>
            <w:r w:rsidRPr="001E1A09">
              <w:t>RDC</w:t>
            </w:r>
          </w:p>
        </w:tc>
        <w:tc>
          <w:tcPr>
            <w:tcW w:w="2161" w:type="dxa"/>
          </w:tcPr>
          <w:p w:rsidR="00B65464" w:rsidRPr="001E1A09" w:rsidRDefault="00B65464" w:rsidP="00403CF3">
            <w:pPr>
              <w:pStyle w:val="Quadros"/>
              <w:jc w:val="center"/>
            </w:pPr>
            <w:r w:rsidRPr="001E1A09">
              <w:t>80</w:t>
            </w:r>
          </w:p>
        </w:tc>
        <w:tc>
          <w:tcPr>
            <w:tcW w:w="2161" w:type="dxa"/>
          </w:tcPr>
          <w:p w:rsidR="00B65464" w:rsidRPr="001E1A09" w:rsidRDefault="00B65464" w:rsidP="00403CF3">
            <w:pPr>
              <w:pStyle w:val="Quadros"/>
              <w:jc w:val="center"/>
            </w:pPr>
            <w:r w:rsidRPr="001E1A09">
              <w:t>-</w:t>
            </w:r>
          </w:p>
        </w:tc>
        <w:tc>
          <w:tcPr>
            <w:tcW w:w="2161" w:type="dxa"/>
          </w:tcPr>
          <w:p w:rsidR="00B65464" w:rsidRPr="001E1A09" w:rsidRDefault="00B65464" w:rsidP="00403CF3">
            <w:pPr>
              <w:pStyle w:val="Quadros"/>
              <w:jc w:val="center"/>
            </w:pPr>
            <w:r w:rsidRPr="001E1A09">
              <w:t>80</w:t>
            </w:r>
          </w:p>
        </w:tc>
      </w:tr>
      <w:tr w:rsidR="00B65464" w:rsidRPr="001E1A09" w:rsidTr="00403CF3">
        <w:tc>
          <w:tcPr>
            <w:tcW w:w="2161" w:type="dxa"/>
          </w:tcPr>
          <w:p w:rsidR="00B65464" w:rsidRPr="001E1A09" w:rsidRDefault="00B65464" w:rsidP="00403CF3">
            <w:pPr>
              <w:pStyle w:val="Quadros"/>
            </w:pPr>
            <w:r w:rsidRPr="001E1A09">
              <w:t>Rússia</w:t>
            </w:r>
          </w:p>
        </w:tc>
        <w:tc>
          <w:tcPr>
            <w:tcW w:w="2161" w:type="dxa"/>
          </w:tcPr>
          <w:p w:rsidR="00B65464" w:rsidRPr="001E1A09" w:rsidRDefault="00B65464" w:rsidP="00403CF3">
            <w:pPr>
              <w:pStyle w:val="Quadros"/>
              <w:jc w:val="center"/>
            </w:pPr>
            <w:r w:rsidRPr="001E1A09">
              <w:t>80</w:t>
            </w:r>
          </w:p>
        </w:tc>
        <w:tc>
          <w:tcPr>
            <w:tcW w:w="2161" w:type="dxa"/>
          </w:tcPr>
          <w:p w:rsidR="00B65464" w:rsidRPr="001E1A09" w:rsidRDefault="00B65464" w:rsidP="00403CF3">
            <w:pPr>
              <w:pStyle w:val="Quadros"/>
              <w:jc w:val="center"/>
            </w:pPr>
            <w:r w:rsidRPr="001E1A09">
              <w:t>20</w:t>
            </w:r>
          </w:p>
        </w:tc>
        <w:tc>
          <w:tcPr>
            <w:tcW w:w="2161" w:type="dxa"/>
          </w:tcPr>
          <w:p w:rsidR="00B65464" w:rsidRPr="001E1A09" w:rsidRDefault="00B65464" w:rsidP="00403CF3">
            <w:pPr>
              <w:pStyle w:val="Quadros"/>
              <w:jc w:val="center"/>
            </w:pPr>
            <w:r w:rsidRPr="001E1A09">
              <w:t>100</w:t>
            </w:r>
          </w:p>
        </w:tc>
      </w:tr>
      <w:tr w:rsidR="00B65464" w:rsidRPr="001E1A09" w:rsidTr="00403CF3">
        <w:tc>
          <w:tcPr>
            <w:tcW w:w="2161" w:type="dxa"/>
          </w:tcPr>
          <w:p w:rsidR="00B65464" w:rsidRPr="001E1A09" w:rsidRDefault="00B65464" w:rsidP="00403CF3">
            <w:pPr>
              <w:pStyle w:val="Quadros"/>
            </w:pPr>
            <w:r w:rsidRPr="001E1A09">
              <w:t>Ucrânia</w:t>
            </w:r>
          </w:p>
        </w:tc>
        <w:tc>
          <w:tcPr>
            <w:tcW w:w="2161" w:type="dxa"/>
          </w:tcPr>
          <w:p w:rsidR="00B65464" w:rsidRPr="001E1A09" w:rsidRDefault="00B65464" w:rsidP="00403CF3">
            <w:pPr>
              <w:pStyle w:val="Quadros"/>
              <w:jc w:val="center"/>
            </w:pPr>
            <w:r w:rsidRPr="001E1A09">
              <w:t>50</w:t>
            </w:r>
          </w:p>
        </w:tc>
        <w:tc>
          <w:tcPr>
            <w:tcW w:w="2161" w:type="dxa"/>
          </w:tcPr>
          <w:p w:rsidR="00B65464" w:rsidRPr="001E1A09" w:rsidRDefault="00B65464" w:rsidP="00403CF3">
            <w:pPr>
              <w:pStyle w:val="Quadros"/>
              <w:jc w:val="center"/>
            </w:pPr>
            <w:r w:rsidRPr="001E1A09">
              <w:t>23</w:t>
            </w:r>
          </w:p>
        </w:tc>
        <w:tc>
          <w:tcPr>
            <w:tcW w:w="2161" w:type="dxa"/>
          </w:tcPr>
          <w:p w:rsidR="00B65464" w:rsidRPr="001E1A09" w:rsidRDefault="00B65464" w:rsidP="00403CF3">
            <w:pPr>
              <w:pStyle w:val="Quadros"/>
              <w:jc w:val="center"/>
            </w:pPr>
            <w:r w:rsidRPr="001E1A09">
              <w:t>73</w:t>
            </w:r>
          </w:p>
        </w:tc>
      </w:tr>
      <w:tr w:rsidR="00B65464" w:rsidRPr="001E1A09" w:rsidTr="00403CF3">
        <w:tc>
          <w:tcPr>
            <w:tcW w:w="2161" w:type="dxa"/>
          </w:tcPr>
          <w:p w:rsidR="00B65464" w:rsidRPr="001E1A09" w:rsidRDefault="00B65464" w:rsidP="00403CF3">
            <w:pPr>
              <w:pStyle w:val="Quadros"/>
            </w:pPr>
            <w:r w:rsidRPr="001E1A09">
              <w:t>Zâmbia</w:t>
            </w:r>
          </w:p>
        </w:tc>
        <w:tc>
          <w:tcPr>
            <w:tcW w:w="2161" w:type="dxa"/>
          </w:tcPr>
          <w:p w:rsidR="00B65464" w:rsidRPr="001E1A09" w:rsidRDefault="00B65464" w:rsidP="00403CF3">
            <w:pPr>
              <w:pStyle w:val="Quadros"/>
              <w:jc w:val="center"/>
            </w:pPr>
            <w:r w:rsidRPr="001E1A09">
              <w:t>60</w:t>
            </w:r>
          </w:p>
        </w:tc>
        <w:tc>
          <w:tcPr>
            <w:tcW w:w="2161" w:type="dxa"/>
          </w:tcPr>
          <w:p w:rsidR="00B65464" w:rsidRPr="001E1A09" w:rsidRDefault="00B65464" w:rsidP="00403CF3">
            <w:pPr>
              <w:pStyle w:val="Quadros"/>
              <w:jc w:val="center"/>
            </w:pPr>
            <w:r w:rsidRPr="001E1A09">
              <w:t>-</w:t>
            </w:r>
          </w:p>
        </w:tc>
        <w:tc>
          <w:tcPr>
            <w:tcW w:w="2161" w:type="dxa"/>
          </w:tcPr>
          <w:p w:rsidR="00B65464" w:rsidRPr="001E1A09" w:rsidRDefault="00B65464" w:rsidP="00403CF3">
            <w:pPr>
              <w:pStyle w:val="Quadros"/>
              <w:jc w:val="center"/>
            </w:pPr>
            <w:r w:rsidRPr="001E1A09">
              <w:t>60</w:t>
            </w:r>
          </w:p>
        </w:tc>
      </w:tr>
      <w:tr w:rsidR="00B65464" w:rsidRPr="001E1A09" w:rsidTr="00403CF3">
        <w:tc>
          <w:tcPr>
            <w:tcW w:w="2161" w:type="dxa"/>
          </w:tcPr>
          <w:p w:rsidR="00B65464" w:rsidRPr="001E1A09" w:rsidRDefault="00B65464" w:rsidP="00403CF3">
            <w:pPr>
              <w:pStyle w:val="Quadros"/>
            </w:pPr>
            <w:r w:rsidRPr="001E1A09">
              <w:t>Zimbabwe</w:t>
            </w:r>
          </w:p>
        </w:tc>
        <w:tc>
          <w:tcPr>
            <w:tcW w:w="2161" w:type="dxa"/>
          </w:tcPr>
          <w:p w:rsidR="00B65464" w:rsidRPr="001E1A09" w:rsidRDefault="00B65464" w:rsidP="00403CF3">
            <w:pPr>
              <w:pStyle w:val="Quadros"/>
              <w:jc w:val="center"/>
            </w:pPr>
            <w:r w:rsidRPr="001E1A09">
              <w:t>30</w:t>
            </w:r>
          </w:p>
        </w:tc>
        <w:tc>
          <w:tcPr>
            <w:tcW w:w="2161" w:type="dxa"/>
          </w:tcPr>
          <w:p w:rsidR="00B65464" w:rsidRPr="001E1A09" w:rsidRDefault="00B65464" w:rsidP="00403CF3">
            <w:pPr>
              <w:pStyle w:val="Quadros"/>
              <w:jc w:val="center"/>
            </w:pPr>
            <w:r w:rsidRPr="001E1A09">
              <w:t>-</w:t>
            </w:r>
          </w:p>
        </w:tc>
        <w:tc>
          <w:tcPr>
            <w:tcW w:w="2161" w:type="dxa"/>
          </w:tcPr>
          <w:p w:rsidR="00B65464" w:rsidRPr="001E1A09" w:rsidRDefault="00B65464" w:rsidP="00403CF3">
            <w:pPr>
              <w:pStyle w:val="Quadros"/>
              <w:jc w:val="center"/>
            </w:pPr>
            <w:r w:rsidRPr="001E1A09">
              <w:t>30</w:t>
            </w:r>
          </w:p>
        </w:tc>
      </w:tr>
      <w:tr w:rsidR="00B65464" w:rsidRPr="001E1A09" w:rsidTr="00403CF3">
        <w:trPr>
          <w:trHeight w:val="70"/>
        </w:trPr>
        <w:tc>
          <w:tcPr>
            <w:tcW w:w="2161" w:type="dxa"/>
          </w:tcPr>
          <w:p w:rsidR="00B65464" w:rsidRPr="001E1A09" w:rsidRDefault="00B65464" w:rsidP="00403CF3">
            <w:pPr>
              <w:pStyle w:val="Quadros"/>
              <w:rPr>
                <w:b/>
              </w:rPr>
            </w:pPr>
            <w:r w:rsidRPr="001E1A09">
              <w:rPr>
                <w:b/>
              </w:rPr>
              <w:t>Total</w:t>
            </w:r>
          </w:p>
        </w:tc>
        <w:tc>
          <w:tcPr>
            <w:tcW w:w="2161" w:type="dxa"/>
          </w:tcPr>
          <w:p w:rsidR="00B65464" w:rsidRPr="001E1A09" w:rsidRDefault="00B65464" w:rsidP="00403CF3">
            <w:pPr>
              <w:pStyle w:val="Quadros"/>
              <w:jc w:val="center"/>
              <w:rPr>
                <w:b/>
              </w:rPr>
            </w:pPr>
            <w:r w:rsidRPr="001E1A09">
              <w:rPr>
                <w:b/>
              </w:rPr>
              <w:t>1879</w:t>
            </w:r>
          </w:p>
        </w:tc>
        <w:tc>
          <w:tcPr>
            <w:tcW w:w="2161" w:type="dxa"/>
          </w:tcPr>
          <w:p w:rsidR="00B65464" w:rsidRPr="001E1A09" w:rsidRDefault="00B65464" w:rsidP="00403CF3">
            <w:pPr>
              <w:pStyle w:val="Quadros"/>
              <w:jc w:val="center"/>
              <w:rPr>
                <w:b/>
              </w:rPr>
            </w:pPr>
            <w:r w:rsidRPr="001E1A09">
              <w:rPr>
                <w:b/>
              </w:rPr>
              <w:t>244</w:t>
            </w:r>
          </w:p>
        </w:tc>
        <w:tc>
          <w:tcPr>
            <w:tcW w:w="2161" w:type="dxa"/>
          </w:tcPr>
          <w:p w:rsidR="00B65464" w:rsidRPr="001E1A09" w:rsidRDefault="00B65464" w:rsidP="00403CF3">
            <w:pPr>
              <w:pStyle w:val="Quadros"/>
              <w:jc w:val="center"/>
              <w:rPr>
                <w:b/>
              </w:rPr>
            </w:pPr>
            <w:r w:rsidRPr="001E1A09">
              <w:rPr>
                <w:b/>
              </w:rPr>
              <w:t>2123</w:t>
            </w:r>
          </w:p>
        </w:tc>
      </w:tr>
    </w:tbl>
    <w:p w:rsidR="00B65464" w:rsidRPr="00D22FD8" w:rsidRDefault="00B65464" w:rsidP="00B65464">
      <w:pPr>
        <w:ind w:left="540" w:hanging="540"/>
        <w:jc w:val="both"/>
        <w:rPr>
          <w:rFonts w:ascii="Times New Roman" w:hAnsi="Times New Roman"/>
        </w:rPr>
      </w:pPr>
      <w:r w:rsidRPr="004370B7">
        <w:rPr>
          <w:rFonts w:ascii="Times New Roman" w:hAnsi="Times New Roman"/>
        </w:rPr>
        <w:t>Fonte</w:t>
      </w:r>
      <w:r>
        <w:rPr>
          <w:rFonts w:ascii="Times New Roman" w:hAnsi="Times New Roman"/>
        </w:rPr>
        <w:t>: Resolução 29/09 (2009, p.</w:t>
      </w:r>
      <w:r w:rsidRPr="00D22FD8">
        <w:rPr>
          <w:rFonts w:ascii="Times New Roman" w:hAnsi="Times New Roman"/>
        </w:rPr>
        <w:t xml:space="preserve"> 1744)</w:t>
      </w:r>
    </w:p>
    <w:p w:rsidR="00B65464" w:rsidRPr="00D22FD8" w:rsidRDefault="00B65464" w:rsidP="00403CF3">
      <w:pPr>
        <w:spacing w:after="0" w:line="240" w:lineRule="auto"/>
        <w:ind w:firstLine="567"/>
        <w:jc w:val="both"/>
        <w:rPr>
          <w:rFonts w:ascii="Times New Roman" w:hAnsi="Times New Roman"/>
          <w:sz w:val="20"/>
          <w:szCs w:val="20"/>
        </w:rPr>
      </w:pPr>
    </w:p>
    <w:p w:rsidR="00B65464" w:rsidRPr="00D22FD8" w:rsidRDefault="00B65464" w:rsidP="00E21D72">
      <w:pPr>
        <w:spacing w:after="0" w:line="360" w:lineRule="auto"/>
        <w:ind w:firstLine="900"/>
        <w:jc w:val="both"/>
        <w:rPr>
          <w:rFonts w:ascii="Times New Roman" w:hAnsi="Times New Roman"/>
          <w:b/>
          <w:sz w:val="24"/>
          <w:szCs w:val="24"/>
        </w:rPr>
      </w:pPr>
      <w:r w:rsidRPr="00D22FD8">
        <w:rPr>
          <w:rFonts w:ascii="Times New Roman" w:hAnsi="Times New Roman"/>
          <w:sz w:val="24"/>
          <w:szCs w:val="24"/>
        </w:rPr>
        <w:t xml:space="preserve">Quando a escolha para partir para o </w:t>
      </w:r>
      <w:r>
        <w:rPr>
          <w:rFonts w:ascii="Times New Roman" w:hAnsi="Times New Roman"/>
          <w:sz w:val="24"/>
          <w:szCs w:val="24"/>
        </w:rPr>
        <w:t>estrangeiro</w:t>
      </w:r>
      <w:r w:rsidRPr="00D22FD8">
        <w:rPr>
          <w:rFonts w:ascii="Times New Roman" w:hAnsi="Times New Roman"/>
          <w:sz w:val="24"/>
          <w:szCs w:val="24"/>
        </w:rPr>
        <w:t xml:space="preserve"> para realização</w:t>
      </w:r>
      <w:r>
        <w:rPr>
          <w:rFonts w:ascii="Times New Roman" w:hAnsi="Times New Roman"/>
          <w:sz w:val="24"/>
          <w:szCs w:val="24"/>
        </w:rPr>
        <w:t xml:space="preserve"> da formação superior não parte do Estado</w:t>
      </w:r>
      <w:r w:rsidRPr="00D22FD8">
        <w:rPr>
          <w:rFonts w:ascii="Times New Roman" w:hAnsi="Times New Roman"/>
          <w:sz w:val="24"/>
          <w:szCs w:val="24"/>
        </w:rPr>
        <w:t xml:space="preserve"> mas sim das famílias, Portugal aparece na segunda posição com 225 estudantes</w:t>
      </w:r>
      <w:r>
        <w:rPr>
          <w:rFonts w:ascii="Times New Roman" w:hAnsi="Times New Roman"/>
          <w:sz w:val="24"/>
          <w:szCs w:val="24"/>
        </w:rPr>
        <w:t>,</w:t>
      </w:r>
      <w:r w:rsidRPr="00D22FD8">
        <w:rPr>
          <w:rFonts w:ascii="Times New Roman" w:hAnsi="Times New Roman"/>
          <w:sz w:val="24"/>
          <w:szCs w:val="24"/>
        </w:rPr>
        <w:t xml:space="preserve"> antecedido apenas pela Namíbia com 1</w:t>
      </w:r>
      <w:r>
        <w:rPr>
          <w:rFonts w:ascii="Times New Roman" w:hAnsi="Times New Roman"/>
          <w:sz w:val="24"/>
          <w:szCs w:val="24"/>
        </w:rPr>
        <w:t>.</w:t>
      </w:r>
      <w:r w:rsidRPr="00D22FD8">
        <w:rPr>
          <w:rFonts w:ascii="Times New Roman" w:hAnsi="Times New Roman"/>
          <w:sz w:val="24"/>
          <w:szCs w:val="24"/>
        </w:rPr>
        <w:t>000 estudantes. De destacar aqui o papel da Namíbia que, embora não conste da lista de países prioritári</w:t>
      </w:r>
      <w:r>
        <w:rPr>
          <w:rFonts w:ascii="Times New Roman" w:hAnsi="Times New Roman"/>
          <w:sz w:val="24"/>
          <w:szCs w:val="24"/>
        </w:rPr>
        <w:t>os para envio dos bolseiros do E</w:t>
      </w:r>
      <w:r w:rsidRPr="00D22FD8">
        <w:rPr>
          <w:rFonts w:ascii="Times New Roman" w:hAnsi="Times New Roman"/>
          <w:sz w:val="24"/>
          <w:szCs w:val="24"/>
        </w:rPr>
        <w:t xml:space="preserve">stado angolano, é o país que mais recebe estudantes angolanos sem bolsa. A sua proximidade </w:t>
      </w:r>
      <w:r>
        <w:rPr>
          <w:rFonts w:ascii="Times New Roman" w:hAnsi="Times New Roman"/>
          <w:sz w:val="24"/>
          <w:szCs w:val="24"/>
        </w:rPr>
        <w:t xml:space="preserve">geográfica </w:t>
      </w:r>
      <w:r w:rsidRPr="00D22FD8">
        <w:rPr>
          <w:rFonts w:ascii="Times New Roman" w:hAnsi="Times New Roman"/>
          <w:sz w:val="24"/>
          <w:szCs w:val="24"/>
        </w:rPr>
        <w:t xml:space="preserve">de Angola </w:t>
      </w:r>
      <w:r>
        <w:rPr>
          <w:rFonts w:ascii="Times New Roman" w:hAnsi="Times New Roman"/>
          <w:sz w:val="24"/>
          <w:szCs w:val="24"/>
        </w:rPr>
        <w:t>é certamente</w:t>
      </w:r>
      <w:r w:rsidRPr="00D22FD8">
        <w:rPr>
          <w:rFonts w:ascii="Times New Roman" w:hAnsi="Times New Roman"/>
          <w:sz w:val="24"/>
          <w:szCs w:val="24"/>
        </w:rPr>
        <w:t xml:space="preserve"> um dos fatores de decisão. De salientar igualmente que</w:t>
      </w:r>
      <w:r>
        <w:rPr>
          <w:rFonts w:ascii="Times New Roman" w:hAnsi="Times New Roman"/>
          <w:sz w:val="24"/>
          <w:szCs w:val="24"/>
        </w:rPr>
        <w:t>, para além da África do Sul,</w:t>
      </w:r>
      <w:r w:rsidRPr="00D22FD8">
        <w:rPr>
          <w:rFonts w:ascii="Times New Roman" w:hAnsi="Times New Roman"/>
          <w:sz w:val="24"/>
          <w:szCs w:val="24"/>
        </w:rPr>
        <w:t xml:space="preserve"> nenhum dos outros países que constituem a SADC se encontra na lista de países prioritários</w:t>
      </w:r>
      <w:r>
        <w:rPr>
          <w:rFonts w:ascii="Times New Roman" w:hAnsi="Times New Roman"/>
          <w:sz w:val="24"/>
          <w:szCs w:val="24"/>
        </w:rPr>
        <w:t>,</w:t>
      </w:r>
      <w:r w:rsidRPr="00D22FD8">
        <w:rPr>
          <w:rFonts w:ascii="Times New Roman" w:hAnsi="Times New Roman"/>
          <w:sz w:val="24"/>
          <w:szCs w:val="24"/>
        </w:rPr>
        <w:t xml:space="preserve"> nem da lista de destino dos estudantes não bolseiros, o que demonstra uma preocupante</w:t>
      </w:r>
      <w:r>
        <w:rPr>
          <w:rFonts w:ascii="Times New Roman" w:hAnsi="Times New Roman"/>
          <w:sz w:val="24"/>
          <w:szCs w:val="24"/>
        </w:rPr>
        <w:t xml:space="preserve"> falta de cooperação entre os E</w:t>
      </w:r>
      <w:r w:rsidRPr="00D22FD8">
        <w:rPr>
          <w:rFonts w:ascii="Times New Roman" w:hAnsi="Times New Roman"/>
          <w:sz w:val="24"/>
          <w:szCs w:val="24"/>
        </w:rPr>
        <w:t>stados membros dessa comunidade</w:t>
      </w:r>
      <w:r>
        <w:rPr>
          <w:rFonts w:ascii="Times New Roman" w:hAnsi="Times New Roman"/>
          <w:sz w:val="24"/>
          <w:szCs w:val="24"/>
        </w:rPr>
        <w:t>,</w:t>
      </w:r>
      <w:r w:rsidRPr="00D22FD8">
        <w:rPr>
          <w:rFonts w:ascii="Times New Roman" w:hAnsi="Times New Roman"/>
          <w:sz w:val="24"/>
          <w:szCs w:val="24"/>
        </w:rPr>
        <w:t xml:space="preserve"> no que diz respeito à formação superior.</w:t>
      </w:r>
    </w:p>
    <w:p w:rsidR="00B65464" w:rsidRPr="00D22FD8" w:rsidRDefault="00B65464" w:rsidP="00403CF3">
      <w:pPr>
        <w:spacing w:after="0" w:line="240" w:lineRule="auto"/>
        <w:ind w:firstLine="540"/>
        <w:jc w:val="both"/>
        <w:rPr>
          <w:rFonts w:ascii="Times New Roman" w:hAnsi="Times New Roman"/>
          <w:sz w:val="20"/>
          <w:szCs w:val="20"/>
          <w:lang w:eastAsia="pt-PT"/>
        </w:rPr>
      </w:pPr>
    </w:p>
    <w:p w:rsidR="00B65464" w:rsidRPr="00D22FD8" w:rsidRDefault="00B65464" w:rsidP="00A52F43">
      <w:pPr>
        <w:pStyle w:val="Cabealho2"/>
        <w:jc w:val="both"/>
      </w:pPr>
      <w:bookmarkStart w:id="65" w:name="_Toc346758072"/>
      <w:r>
        <w:t>As r</w:t>
      </w:r>
      <w:r w:rsidRPr="00D22FD8">
        <w:t xml:space="preserve">elações </w:t>
      </w:r>
      <w:r>
        <w:t>de cooperação entre Portugal – Angola - Brasil</w:t>
      </w:r>
      <w:bookmarkEnd w:id="65"/>
    </w:p>
    <w:p w:rsidR="00B65464" w:rsidRPr="00E5596D" w:rsidRDefault="00B65464" w:rsidP="00E21D72">
      <w:pPr>
        <w:spacing w:after="0" w:line="360" w:lineRule="auto"/>
        <w:ind w:firstLine="900"/>
        <w:jc w:val="both"/>
        <w:rPr>
          <w:rFonts w:ascii="Times New Roman" w:hAnsi="Times New Roman"/>
          <w:sz w:val="24"/>
          <w:szCs w:val="24"/>
        </w:rPr>
      </w:pPr>
      <w:r w:rsidRPr="00E5596D">
        <w:rPr>
          <w:rFonts w:ascii="Times New Roman" w:hAnsi="Times New Roman"/>
          <w:sz w:val="24"/>
          <w:szCs w:val="24"/>
        </w:rPr>
        <w:t>A escolha de Portugal para a realização da formação superior, acaba por ser, ainda nos dias de hoje, o resultado de séculos de interação entre Portugal e Angola</w:t>
      </w:r>
      <w:r>
        <w:rPr>
          <w:rFonts w:ascii="Times New Roman" w:hAnsi="Times New Roman"/>
          <w:sz w:val="24"/>
          <w:szCs w:val="24"/>
        </w:rPr>
        <w:t>, ou seja, a</w:t>
      </w:r>
      <w:r w:rsidRPr="00E5596D">
        <w:rPr>
          <w:rFonts w:ascii="Times New Roman" w:hAnsi="Times New Roman"/>
          <w:sz w:val="24"/>
          <w:szCs w:val="24"/>
        </w:rPr>
        <w:t xml:space="preserve"> deslocação de estudantes angolanos para Portugal não </w:t>
      </w:r>
      <w:r>
        <w:rPr>
          <w:rFonts w:ascii="Times New Roman" w:hAnsi="Times New Roman"/>
          <w:sz w:val="24"/>
          <w:szCs w:val="24"/>
        </w:rPr>
        <w:t>é apenas um</w:t>
      </w:r>
      <w:r w:rsidRPr="00E5596D">
        <w:rPr>
          <w:rFonts w:ascii="Times New Roman" w:hAnsi="Times New Roman"/>
          <w:sz w:val="24"/>
          <w:szCs w:val="24"/>
        </w:rPr>
        <w:t xml:space="preserve"> processo de migração temporária. A existência de uma </w:t>
      </w:r>
      <w:r>
        <w:rPr>
          <w:rFonts w:ascii="Times New Roman" w:hAnsi="Times New Roman"/>
          <w:sz w:val="24"/>
          <w:szCs w:val="24"/>
        </w:rPr>
        <w:t xml:space="preserve">significativa comunidade imigrante angolana </w:t>
      </w:r>
      <w:r>
        <w:rPr>
          <w:rFonts w:ascii="Times New Roman" w:hAnsi="Times New Roman"/>
          <w:sz w:val="24"/>
          <w:szCs w:val="24"/>
        </w:rPr>
        <w:lastRenderedPageBreak/>
        <w:t>em Portugal</w:t>
      </w:r>
      <w:r w:rsidRPr="00E5596D">
        <w:rPr>
          <w:rFonts w:ascii="Times New Roman" w:hAnsi="Times New Roman"/>
          <w:sz w:val="24"/>
          <w:szCs w:val="24"/>
        </w:rPr>
        <w:t xml:space="preserve">, constituída ao longo dos anos, a possibilidade de aquisição da nacionalidade portuguesa, bem como a proximidade entre os currículos escolares são fatores </w:t>
      </w:r>
      <w:r>
        <w:rPr>
          <w:rFonts w:ascii="Times New Roman" w:hAnsi="Times New Roman"/>
          <w:sz w:val="24"/>
          <w:szCs w:val="24"/>
        </w:rPr>
        <w:t>que têm influenciado essa escolha</w:t>
      </w:r>
      <w:r w:rsidRPr="00E5596D">
        <w:rPr>
          <w:rFonts w:ascii="Times New Roman" w:hAnsi="Times New Roman"/>
          <w:sz w:val="24"/>
          <w:szCs w:val="24"/>
        </w:rPr>
        <w:t xml:space="preserve">. Por outro lado, a realização da formação superior em Portugal </w:t>
      </w:r>
      <w:r>
        <w:rPr>
          <w:rFonts w:ascii="Times New Roman" w:hAnsi="Times New Roman"/>
          <w:sz w:val="24"/>
          <w:szCs w:val="24"/>
        </w:rPr>
        <w:t>pelos ascendentes</w:t>
      </w:r>
      <w:r w:rsidRPr="00E5596D">
        <w:rPr>
          <w:rFonts w:ascii="Times New Roman" w:hAnsi="Times New Roman"/>
          <w:sz w:val="24"/>
          <w:szCs w:val="24"/>
        </w:rPr>
        <w:t xml:space="preserve"> </w:t>
      </w:r>
      <w:r>
        <w:rPr>
          <w:rFonts w:ascii="Times New Roman" w:hAnsi="Times New Roman"/>
          <w:sz w:val="24"/>
          <w:szCs w:val="24"/>
        </w:rPr>
        <w:t xml:space="preserve">(pais </w:t>
      </w:r>
      <w:r w:rsidRPr="00E5596D">
        <w:rPr>
          <w:rFonts w:ascii="Times New Roman" w:hAnsi="Times New Roman"/>
          <w:sz w:val="24"/>
          <w:szCs w:val="24"/>
        </w:rPr>
        <w:t>e</w:t>
      </w:r>
      <w:r>
        <w:rPr>
          <w:rFonts w:ascii="Times New Roman" w:hAnsi="Times New Roman"/>
          <w:sz w:val="24"/>
          <w:szCs w:val="24"/>
        </w:rPr>
        <w:t xml:space="preserve"> mesmo </w:t>
      </w:r>
      <w:r w:rsidRPr="00E5596D">
        <w:rPr>
          <w:rFonts w:ascii="Times New Roman" w:hAnsi="Times New Roman"/>
          <w:sz w:val="24"/>
          <w:szCs w:val="24"/>
        </w:rPr>
        <w:t>avós</w:t>
      </w:r>
      <w:r>
        <w:rPr>
          <w:rFonts w:ascii="Times New Roman" w:hAnsi="Times New Roman"/>
          <w:sz w:val="24"/>
          <w:szCs w:val="24"/>
        </w:rPr>
        <w:t xml:space="preserve">) tem um efeito reprodutivo, ou seja, está na origem do envio de filhos e netos também para Portugal, </w:t>
      </w:r>
      <w:r w:rsidRPr="00E5596D">
        <w:rPr>
          <w:rFonts w:ascii="Times New Roman" w:hAnsi="Times New Roman"/>
          <w:sz w:val="24"/>
          <w:szCs w:val="24"/>
        </w:rPr>
        <w:t xml:space="preserve">no intuito de </w:t>
      </w:r>
      <w:r>
        <w:rPr>
          <w:rFonts w:ascii="Times New Roman" w:hAnsi="Times New Roman"/>
          <w:sz w:val="24"/>
          <w:szCs w:val="24"/>
        </w:rPr>
        <w:t>verem, através destas novas gerações, reproduzido</w:t>
      </w:r>
      <w:r w:rsidRPr="00E5596D">
        <w:rPr>
          <w:rFonts w:ascii="Times New Roman" w:hAnsi="Times New Roman"/>
          <w:sz w:val="24"/>
          <w:szCs w:val="24"/>
        </w:rPr>
        <w:t xml:space="preserve"> o mesmo </w:t>
      </w:r>
      <w:r>
        <w:rPr>
          <w:rFonts w:ascii="Times New Roman" w:hAnsi="Times New Roman"/>
          <w:sz w:val="24"/>
          <w:szCs w:val="24"/>
        </w:rPr>
        <w:t>percurso escolar</w:t>
      </w:r>
      <w:r w:rsidRPr="00E5596D">
        <w:rPr>
          <w:rFonts w:ascii="Times New Roman" w:hAnsi="Times New Roman"/>
          <w:sz w:val="24"/>
          <w:szCs w:val="24"/>
        </w:rPr>
        <w:t>.</w:t>
      </w:r>
    </w:p>
    <w:p w:rsidR="00B65464" w:rsidRPr="00E5596D" w:rsidRDefault="00B65464" w:rsidP="00E21D72">
      <w:pPr>
        <w:spacing w:after="0" w:line="360" w:lineRule="auto"/>
        <w:ind w:firstLine="900"/>
        <w:jc w:val="both"/>
        <w:rPr>
          <w:rFonts w:ascii="Times New Roman" w:hAnsi="Times New Roman"/>
          <w:sz w:val="24"/>
          <w:szCs w:val="24"/>
        </w:rPr>
      </w:pPr>
      <w:r w:rsidRPr="00E94733">
        <w:rPr>
          <w:rFonts w:ascii="Times New Roman" w:hAnsi="Times New Roman"/>
          <w:sz w:val="24"/>
          <w:szCs w:val="24"/>
        </w:rPr>
        <w:t>Nos últimos anos</w:t>
      </w:r>
      <w:r>
        <w:rPr>
          <w:rFonts w:ascii="Times New Roman" w:hAnsi="Times New Roman"/>
          <w:sz w:val="24"/>
          <w:szCs w:val="24"/>
        </w:rPr>
        <w:t xml:space="preserve"> (particularmente a partir de 2003)</w:t>
      </w:r>
      <w:r w:rsidRPr="00E94733">
        <w:rPr>
          <w:rFonts w:ascii="Times New Roman" w:hAnsi="Times New Roman"/>
          <w:sz w:val="24"/>
          <w:szCs w:val="24"/>
        </w:rPr>
        <w:t>,</w:t>
      </w:r>
      <w:r>
        <w:rPr>
          <w:rFonts w:ascii="Times New Roman" w:hAnsi="Times New Roman"/>
          <w:sz w:val="24"/>
          <w:szCs w:val="24"/>
        </w:rPr>
        <w:t xml:space="preserve"> o Brasil v</w:t>
      </w:r>
      <w:r w:rsidRPr="00E94733">
        <w:rPr>
          <w:rFonts w:ascii="Times New Roman" w:hAnsi="Times New Roman"/>
          <w:sz w:val="24"/>
          <w:szCs w:val="24"/>
        </w:rPr>
        <w:t>em assumi</w:t>
      </w:r>
      <w:r>
        <w:rPr>
          <w:rFonts w:ascii="Times New Roman" w:hAnsi="Times New Roman"/>
          <w:sz w:val="24"/>
          <w:szCs w:val="24"/>
        </w:rPr>
        <w:t>n</w:t>
      </w:r>
      <w:r w:rsidRPr="00E94733">
        <w:rPr>
          <w:rFonts w:ascii="Times New Roman" w:hAnsi="Times New Roman"/>
          <w:sz w:val="24"/>
          <w:szCs w:val="24"/>
        </w:rPr>
        <w:t xml:space="preserve">do um papel </w:t>
      </w:r>
      <w:r>
        <w:rPr>
          <w:rFonts w:ascii="Times New Roman" w:hAnsi="Times New Roman"/>
          <w:sz w:val="24"/>
          <w:szCs w:val="24"/>
        </w:rPr>
        <w:t xml:space="preserve">preponderante </w:t>
      </w:r>
      <w:r w:rsidRPr="00E94733">
        <w:rPr>
          <w:rFonts w:ascii="Times New Roman" w:hAnsi="Times New Roman"/>
          <w:sz w:val="24"/>
          <w:szCs w:val="24"/>
        </w:rPr>
        <w:t>nas dinâmicas de cooperação escolar com A</w:t>
      </w:r>
      <w:r>
        <w:rPr>
          <w:rFonts w:ascii="Times New Roman" w:hAnsi="Times New Roman"/>
          <w:sz w:val="24"/>
          <w:szCs w:val="24"/>
        </w:rPr>
        <w:t>ngola. Nest</w:t>
      </w:r>
      <w:r w:rsidRPr="00E94733">
        <w:rPr>
          <w:rFonts w:ascii="Times New Roman" w:hAnsi="Times New Roman"/>
          <w:sz w:val="24"/>
          <w:szCs w:val="24"/>
        </w:rPr>
        <w:t>e contexto, a escolha do Brasil como país de destino</w:t>
      </w:r>
      <w:r>
        <w:rPr>
          <w:rFonts w:ascii="Times New Roman" w:hAnsi="Times New Roman"/>
          <w:sz w:val="24"/>
          <w:szCs w:val="24"/>
        </w:rPr>
        <w:t>,</w:t>
      </w:r>
      <w:r w:rsidRPr="00E94733">
        <w:rPr>
          <w:rFonts w:ascii="Times New Roman" w:hAnsi="Times New Roman"/>
          <w:sz w:val="24"/>
          <w:szCs w:val="24"/>
        </w:rPr>
        <w:t xml:space="preserve"> para realização da formação superior</w:t>
      </w:r>
      <w:r>
        <w:rPr>
          <w:rFonts w:ascii="Times New Roman" w:hAnsi="Times New Roman"/>
          <w:sz w:val="24"/>
          <w:szCs w:val="24"/>
        </w:rPr>
        <w:t>,</w:t>
      </w:r>
      <w:r w:rsidRPr="00E94733">
        <w:rPr>
          <w:rFonts w:ascii="Times New Roman" w:hAnsi="Times New Roman"/>
          <w:sz w:val="24"/>
          <w:szCs w:val="24"/>
        </w:rPr>
        <w:t xml:space="preserve"> não representa apenas “</w:t>
      </w:r>
      <w:r w:rsidRPr="003B1C09">
        <w:rPr>
          <w:rFonts w:ascii="Times New Roman" w:hAnsi="Times New Roman"/>
          <w:sz w:val="24"/>
          <w:szCs w:val="24"/>
        </w:rPr>
        <w:t>um movimento de simples deslocamento de indivíduos entre um país de origem e um país de acolhimento. Trata-se de um contexto em que os indivíduos que migram dentro desse processo de migração especial cumprem metas postas por seus países em termos do próprio desenvolvimento” (</w:t>
      </w:r>
      <w:r>
        <w:rPr>
          <w:rFonts w:ascii="Times New Roman" w:hAnsi="Times New Roman"/>
          <w:sz w:val="24"/>
          <w:szCs w:val="24"/>
        </w:rPr>
        <w:t>GUSMÃO, 2009, p.</w:t>
      </w:r>
      <w:r w:rsidRPr="003B1C09">
        <w:rPr>
          <w:rFonts w:ascii="Times New Roman" w:hAnsi="Times New Roman"/>
          <w:sz w:val="24"/>
          <w:szCs w:val="24"/>
        </w:rPr>
        <w:t xml:space="preserve"> 16).</w:t>
      </w:r>
      <w:r w:rsidRPr="00647837">
        <w:rPr>
          <w:rFonts w:ascii="Times New Roman" w:hAnsi="Times New Roman"/>
          <w:color w:val="FF0000"/>
          <w:sz w:val="24"/>
          <w:szCs w:val="24"/>
        </w:rPr>
        <w:t xml:space="preserve"> </w:t>
      </w:r>
      <w:r w:rsidRPr="00E94733">
        <w:rPr>
          <w:rFonts w:ascii="Times New Roman" w:hAnsi="Times New Roman"/>
          <w:sz w:val="24"/>
          <w:szCs w:val="24"/>
        </w:rPr>
        <w:t>Além da partilha de um passado comum (colonização portuguesa),</w:t>
      </w:r>
      <w:r w:rsidRPr="00E5596D">
        <w:rPr>
          <w:rFonts w:ascii="Times New Roman" w:hAnsi="Times New Roman"/>
          <w:sz w:val="24"/>
          <w:szCs w:val="24"/>
        </w:rPr>
        <w:t xml:space="preserve"> </w:t>
      </w:r>
      <w:r>
        <w:rPr>
          <w:rFonts w:ascii="Times New Roman" w:hAnsi="Times New Roman"/>
          <w:sz w:val="24"/>
          <w:szCs w:val="24"/>
        </w:rPr>
        <w:t xml:space="preserve">o </w:t>
      </w:r>
      <w:r w:rsidRPr="00E5596D">
        <w:rPr>
          <w:rFonts w:ascii="Times New Roman" w:hAnsi="Times New Roman"/>
          <w:sz w:val="24"/>
          <w:szCs w:val="24"/>
        </w:rPr>
        <w:t xml:space="preserve">Brasil como país emergente aparece como “concorrente” de Portugal, </w:t>
      </w:r>
      <w:r>
        <w:rPr>
          <w:rFonts w:ascii="Times New Roman" w:hAnsi="Times New Roman"/>
          <w:sz w:val="24"/>
          <w:szCs w:val="24"/>
        </w:rPr>
        <w:t>demonstrando</w:t>
      </w:r>
      <w:r w:rsidRPr="00E5596D">
        <w:rPr>
          <w:rFonts w:ascii="Times New Roman" w:hAnsi="Times New Roman"/>
          <w:sz w:val="24"/>
          <w:szCs w:val="24"/>
        </w:rPr>
        <w:t xml:space="preserve"> sobretudo a intenção de fortalecer a sua ligação ao continente africano, numa tentativa de se reconciliar com o passado, mas também de reconhecimento do papel fundamental </w:t>
      </w:r>
      <w:r>
        <w:rPr>
          <w:rFonts w:ascii="Times New Roman" w:hAnsi="Times New Roman"/>
          <w:sz w:val="24"/>
          <w:szCs w:val="24"/>
        </w:rPr>
        <w:t>da sua ligação a estes países</w:t>
      </w:r>
      <w:r w:rsidRPr="00E5596D">
        <w:rPr>
          <w:rFonts w:ascii="Times New Roman" w:hAnsi="Times New Roman"/>
          <w:sz w:val="24"/>
          <w:szCs w:val="24"/>
        </w:rPr>
        <w:t>, não só dentro do quadro da CPLP, mas também da cooperação sul-sul.</w:t>
      </w:r>
    </w:p>
    <w:p w:rsidR="00B65464" w:rsidRPr="00D22FD8" w:rsidRDefault="00B65464" w:rsidP="00E21D72">
      <w:pPr>
        <w:spacing w:after="0" w:line="360" w:lineRule="auto"/>
        <w:ind w:firstLine="900"/>
        <w:jc w:val="both"/>
        <w:rPr>
          <w:rFonts w:ascii="Times New Roman" w:hAnsi="Times New Roman"/>
          <w:sz w:val="24"/>
          <w:szCs w:val="24"/>
        </w:rPr>
      </w:pPr>
      <w:r w:rsidRPr="00D22FD8">
        <w:rPr>
          <w:rFonts w:ascii="Times New Roman" w:hAnsi="Times New Roman"/>
          <w:sz w:val="24"/>
          <w:szCs w:val="24"/>
        </w:rPr>
        <w:t>O relacionamento entre os três países</w:t>
      </w:r>
      <w:r w:rsidR="00A52F43">
        <w:rPr>
          <w:rFonts w:ascii="Times New Roman" w:hAnsi="Times New Roman"/>
          <w:sz w:val="24"/>
          <w:szCs w:val="24"/>
        </w:rPr>
        <w:t xml:space="preserve"> remonta ao século XV. Portugal</w:t>
      </w:r>
      <w:r w:rsidRPr="00D22FD8">
        <w:rPr>
          <w:rFonts w:ascii="Times New Roman" w:hAnsi="Times New Roman"/>
          <w:sz w:val="24"/>
          <w:szCs w:val="24"/>
        </w:rPr>
        <w:t xml:space="preserve"> chegou à foz do rio Zaire (Angola) em 1482 e, a terras de Vera Cruz (Brasil), em 1500. Relações comerciais (económicas e expansionistas) estiveram na origem do relacionamento entre os três territórios. </w:t>
      </w:r>
      <w:r w:rsidRPr="002E763C">
        <w:rPr>
          <w:rFonts w:ascii="Times New Roman" w:hAnsi="Times New Roman"/>
          <w:sz w:val="24"/>
          <w:szCs w:val="24"/>
        </w:rPr>
        <w:t>A colonização do Brasil, inserida no que se convencionou designar de “Segundo Império Colonial”, e a de Angola descrita como se inserindo no “Terceiro Império Colonial” (</w:t>
      </w:r>
      <w:r>
        <w:rPr>
          <w:rFonts w:ascii="Times New Roman" w:hAnsi="Times New Roman"/>
          <w:sz w:val="24"/>
          <w:szCs w:val="24"/>
        </w:rPr>
        <w:t>ALEXANDRE</w:t>
      </w:r>
      <w:r w:rsidRPr="002E763C">
        <w:rPr>
          <w:rFonts w:ascii="Times New Roman" w:hAnsi="Times New Roman"/>
          <w:sz w:val="24"/>
          <w:szCs w:val="24"/>
        </w:rPr>
        <w:t>, 2000) levou à partilha de uma herança histórica e linguística idêntica, bem como de identidades culturais, étnicas e religiosas, (infelizmente) consolidadas pelo tráfico de escravos entre os três países.</w:t>
      </w:r>
      <w:r w:rsidRPr="00D22FD8">
        <w:rPr>
          <w:rFonts w:ascii="Times New Roman" w:hAnsi="Times New Roman"/>
          <w:sz w:val="24"/>
          <w:szCs w:val="24"/>
        </w:rPr>
        <w:t xml:space="preserve"> De fato, a região que hoje corresponde ao território angola</w:t>
      </w:r>
      <w:r>
        <w:rPr>
          <w:rFonts w:ascii="Times New Roman" w:hAnsi="Times New Roman"/>
          <w:sz w:val="24"/>
          <w:szCs w:val="24"/>
        </w:rPr>
        <w:t xml:space="preserve">no foi aquela que mais escravos </w:t>
      </w:r>
      <w:r w:rsidRPr="00D22FD8">
        <w:rPr>
          <w:rFonts w:ascii="Times New Roman" w:hAnsi="Times New Roman"/>
          <w:sz w:val="24"/>
          <w:szCs w:val="24"/>
        </w:rPr>
        <w:t>forneceu para o Brasil. Estima-se que entre o “século XVI e XIX cerca de três milhões de angolanos terão sido enviados para o Brasil” (</w:t>
      </w:r>
      <w:r>
        <w:rPr>
          <w:rFonts w:ascii="Times New Roman" w:hAnsi="Times New Roman"/>
          <w:sz w:val="24"/>
          <w:szCs w:val="24"/>
        </w:rPr>
        <w:t>FERREIRA, 2004, p.</w:t>
      </w:r>
      <w:r w:rsidRPr="00D22FD8">
        <w:rPr>
          <w:rFonts w:ascii="Times New Roman" w:hAnsi="Times New Roman"/>
          <w:sz w:val="24"/>
          <w:szCs w:val="24"/>
        </w:rPr>
        <w:t xml:space="preserve"> 86), estabelecendo desde logo relações culturais e comerciais bem como uma ligação que atualmente se apresenta determinante no processo de cooperação entre os três países.</w:t>
      </w:r>
    </w:p>
    <w:p w:rsidR="00B65464" w:rsidRPr="00D22FD8" w:rsidRDefault="00B65464" w:rsidP="00E21D72">
      <w:pPr>
        <w:spacing w:after="0" w:line="360" w:lineRule="auto"/>
        <w:ind w:firstLine="900"/>
        <w:jc w:val="both"/>
        <w:rPr>
          <w:rFonts w:ascii="Times New Roman" w:hAnsi="Times New Roman"/>
          <w:sz w:val="24"/>
          <w:szCs w:val="24"/>
        </w:rPr>
      </w:pPr>
      <w:r w:rsidRPr="00D22FD8">
        <w:rPr>
          <w:rFonts w:ascii="Times New Roman" w:hAnsi="Times New Roman"/>
          <w:sz w:val="24"/>
          <w:szCs w:val="24"/>
        </w:rPr>
        <w:t>O enquadramento institucional da cooperação portuguesa com Angola começou imediatamente após a independência (</w:t>
      </w:r>
      <w:r>
        <w:rPr>
          <w:rFonts w:ascii="Times New Roman" w:hAnsi="Times New Roman"/>
          <w:sz w:val="24"/>
          <w:szCs w:val="24"/>
        </w:rPr>
        <w:t>MONTEIRO, 2001, p.</w:t>
      </w:r>
      <w:r w:rsidRPr="00D22FD8">
        <w:rPr>
          <w:rFonts w:ascii="Times New Roman" w:hAnsi="Times New Roman"/>
          <w:sz w:val="24"/>
          <w:szCs w:val="24"/>
        </w:rPr>
        <w:t xml:space="preserve"> 157), tendo o Acordo Geral </w:t>
      </w:r>
      <w:r w:rsidRPr="00D22FD8">
        <w:rPr>
          <w:rFonts w:ascii="Times New Roman" w:hAnsi="Times New Roman"/>
          <w:sz w:val="24"/>
          <w:szCs w:val="24"/>
        </w:rPr>
        <w:lastRenderedPageBreak/>
        <w:t>de Cooperação sido ratificado em 1979</w:t>
      </w:r>
      <w:r w:rsidRPr="00D22FD8">
        <w:rPr>
          <w:rStyle w:val="Refdenotadefim"/>
          <w:rFonts w:ascii="Times New Roman" w:hAnsi="Times New Roman"/>
          <w:sz w:val="24"/>
          <w:szCs w:val="24"/>
        </w:rPr>
        <w:endnoteReference w:id="10"/>
      </w:r>
      <w:r w:rsidRPr="00D22FD8">
        <w:rPr>
          <w:rFonts w:ascii="Times New Roman" w:hAnsi="Times New Roman"/>
          <w:sz w:val="24"/>
          <w:szCs w:val="24"/>
        </w:rPr>
        <w:t xml:space="preserve"> com a publicação da Lei 6/79 de 9 de fevereiro. Este documento legislativo, posteriormente atualizado ao longo dos anos, marca institucionalmente o início do processo de cooperação entre Portugal e a sua antiga colónia, então denominada, República Popular de Angola</w:t>
      </w:r>
      <w:r>
        <w:rPr>
          <w:rFonts w:ascii="Times New Roman" w:hAnsi="Times New Roman"/>
          <w:sz w:val="24"/>
          <w:szCs w:val="24"/>
        </w:rPr>
        <w:t xml:space="preserve"> (hoje apenas República de Angola)</w:t>
      </w:r>
      <w:r w:rsidRPr="00D22FD8">
        <w:rPr>
          <w:rFonts w:ascii="Times New Roman" w:hAnsi="Times New Roman"/>
          <w:sz w:val="24"/>
          <w:szCs w:val="24"/>
        </w:rPr>
        <w:t>.</w:t>
      </w:r>
      <w:r>
        <w:rPr>
          <w:rFonts w:ascii="Times New Roman" w:hAnsi="Times New Roman"/>
          <w:sz w:val="24"/>
          <w:szCs w:val="24"/>
        </w:rPr>
        <w:t xml:space="preserve"> </w:t>
      </w:r>
      <w:r w:rsidRPr="00D22FD8">
        <w:rPr>
          <w:rFonts w:ascii="Times New Roman" w:hAnsi="Times New Roman"/>
          <w:sz w:val="24"/>
          <w:szCs w:val="24"/>
        </w:rPr>
        <w:t>Em relação ao Brasil, as relações entre Brasil e Angola estabeleceram-se logo em 1975 “em virtude do Brasil ter sido o primeiro país a reconhecer não somente a independência da antiga colónia portuguesa, mas também o seu governo, lidera</w:t>
      </w:r>
      <w:r>
        <w:rPr>
          <w:rFonts w:ascii="Times New Roman" w:hAnsi="Times New Roman"/>
          <w:sz w:val="24"/>
          <w:szCs w:val="24"/>
        </w:rPr>
        <w:t>do pelo MPLA” (ApexBrasil, 2010, p.</w:t>
      </w:r>
      <w:r w:rsidRPr="00D22FD8">
        <w:rPr>
          <w:rFonts w:ascii="Times New Roman" w:hAnsi="Times New Roman"/>
          <w:sz w:val="24"/>
          <w:szCs w:val="24"/>
        </w:rPr>
        <w:t xml:space="preserve"> 13).</w:t>
      </w:r>
    </w:p>
    <w:p w:rsidR="00B65464" w:rsidRPr="00C857AE" w:rsidRDefault="00B65464" w:rsidP="00E21D72">
      <w:pPr>
        <w:spacing w:after="0" w:line="360" w:lineRule="auto"/>
        <w:ind w:firstLine="900"/>
        <w:jc w:val="both"/>
        <w:rPr>
          <w:rFonts w:ascii="Times New Roman" w:hAnsi="Times New Roman"/>
          <w:sz w:val="24"/>
          <w:szCs w:val="24"/>
        </w:rPr>
      </w:pPr>
      <w:r w:rsidRPr="00C857AE">
        <w:rPr>
          <w:rFonts w:ascii="Times New Roman" w:hAnsi="Times New Roman"/>
          <w:sz w:val="24"/>
          <w:szCs w:val="24"/>
        </w:rPr>
        <w:t>No que toca à política educativa,</w:t>
      </w:r>
    </w:p>
    <w:p w:rsidR="00B65464" w:rsidRPr="00E21D72" w:rsidRDefault="00B65464" w:rsidP="00A52F43">
      <w:pPr>
        <w:spacing w:after="0" w:line="240" w:lineRule="auto"/>
        <w:ind w:left="2880" w:right="44"/>
        <w:jc w:val="both"/>
        <w:rPr>
          <w:rFonts w:ascii="Times New Roman" w:hAnsi="Times New Roman"/>
          <w:i/>
        </w:rPr>
      </w:pPr>
      <w:r w:rsidRPr="00A52F43">
        <w:rPr>
          <w:rFonts w:ascii="Times New Roman" w:hAnsi="Times New Roman"/>
        </w:rPr>
        <w:t>A dinâmica da constituição dos novos Estados nacionais africanos, principalmente os de língua oficial portuguesa (PALOP), tem conduzido um número significativo de jovens africanos a buscar, no Brasil e em Portugal, possibilidades de formação e qualificação de nível técnico, médio e superior</w:t>
      </w:r>
      <w:r w:rsidRPr="00E21D72">
        <w:rPr>
          <w:rFonts w:ascii="Times New Roman" w:hAnsi="Times New Roman"/>
          <w:i/>
        </w:rPr>
        <w:t xml:space="preserve"> </w:t>
      </w:r>
      <w:r w:rsidRPr="00477EDC">
        <w:rPr>
          <w:rFonts w:ascii="Times New Roman" w:hAnsi="Times New Roman"/>
        </w:rPr>
        <w:t>(GUSMÃO</w:t>
      </w:r>
      <w:r>
        <w:rPr>
          <w:rFonts w:ascii="Times New Roman" w:hAnsi="Times New Roman"/>
        </w:rPr>
        <w:t>, 2009, p.</w:t>
      </w:r>
      <w:r w:rsidRPr="00477EDC">
        <w:rPr>
          <w:rFonts w:ascii="Times New Roman" w:hAnsi="Times New Roman"/>
        </w:rPr>
        <w:t>17).</w:t>
      </w:r>
    </w:p>
    <w:p w:rsidR="00B65464" w:rsidRPr="00D22FD8" w:rsidRDefault="00B65464" w:rsidP="00E21D72">
      <w:pPr>
        <w:spacing w:after="0" w:line="360" w:lineRule="auto"/>
        <w:ind w:firstLine="900"/>
        <w:jc w:val="both"/>
        <w:rPr>
          <w:rFonts w:ascii="Times New Roman" w:hAnsi="Times New Roman"/>
          <w:sz w:val="24"/>
          <w:szCs w:val="24"/>
        </w:rPr>
      </w:pPr>
      <w:r w:rsidRPr="00D22FD8">
        <w:rPr>
          <w:rFonts w:ascii="Times New Roman" w:hAnsi="Times New Roman"/>
          <w:sz w:val="24"/>
          <w:szCs w:val="24"/>
        </w:rPr>
        <w:t>No intuito de aprofundar as relações entre os países que falam português foi criada, em 1996, a Comunidade dos Países de Língua Portuguesa (CPLP)</w:t>
      </w:r>
      <w:r w:rsidRPr="00D22FD8">
        <w:rPr>
          <w:rStyle w:val="Refdenotadefim"/>
          <w:rFonts w:ascii="Times New Roman" w:hAnsi="Times New Roman"/>
          <w:sz w:val="24"/>
          <w:szCs w:val="24"/>
        </w:rPr>
        <w:endnoteReference w:id="11"/>
      </w:r>
      <w:r w:rsidRPr="00D22FD8">
        <w:rPr>
          <w:rFonts w:ascii="Times New Roman" w:hAnsi="Times New Roman"/>
          <w:sz w:val="24"/>
          <w:szCs w:val="24"/>
        </w:rPr>
        <w:t xml:space="preserve">, que, constitui um dos quadros institucionais de cooperação entre estes países. Como comunidade lusófona que liga os </w:t>
      </w:r>
      <w:r>
        <w:rPr>
          <w:rFonts w:ascii="Times New Roman" w:hAnsi="Times New Roman"/>
          <w:sz w:val="24"/>
          <w:szCs w:val="24"/>
        </w:rPr>
        <w:t>quatro</w:t>
      </w:r>
      <w:r w:rsidRPr="00D22FD8">
        <w:rPr>
          <w:rFonts w:ascii="Times New Roman" w:hAnsi="Times New Roman"/>
          <w:sz w:val="24"/>
          <w:szCs w:val="24"/>
        </w:rPr>
        <w:t xml:space="preserve"> continentes, a CPLP pretende aumentar os fluxos da cooperação entre os estados </w:t>
      </w:r>
      <w:r>
        <w:rPr>
          <w:rFonts w:ascii="Times New Roman" w:hAnsi="Times New Roman"/>
          <w:sz w:val="24"/>
          <w:szCs w:val="24"/>
        </w:rPr>
        <w:t>que a compõem</w:t>
      </w:r>
      <w:r w:rsidRPr="00D22FD8">
        <w:rPr>
          <w:rFonts w:ascii="Times New Roman" w:hAnsi="Times New Roman"/>
          <w:sz w:val="24"/>
          <w:szCs w:val="24"/>
        </w:rPr>
        <w:t xml:space="preserve"> bem como privilegiar o espaço cultural e social que os liga, dando origem a um “espaço cultural transnacional e multicontinental” (</w:t>
      </w:r>
      <w:r>
        <w:rPr>
          <w:rFonts w:ascii="Times New Roman" w:hAnsi="Times New Roman"/>
          <w:sz w:val="24"/>
          <w:szCs w:val="24"/>
        </w:rPr>
        <w:t>MARCHUETA</w:t>
      </w:r>
      <w:r w:rsidRPr="00D22FD8">
        <w:rPr>
          <w:rFonts w:ascii="Times New Roman" w:hAnsi="Times New Roman"/>
          <w:sz w:val="24"/>
          <w:szCs w:val="24"/>
        </w:rPr>
        <w:t>, 2003</w:t>
      </w:r>
      <w:r>
        <w:rPr>
          <w:rFonts w:ascii="Times New Roman" w:hAnsi="Times New Roman"/>
          <w:sz w:val="24"/>
          <w:szCs w:val="24"/>
        </w:rPr>
        <w:t>, p.</w:t>
      </w:r>
      <w:r w:rsidRPr="00D22FD8">
        <w:rPr>
          <w:rFonts w:ascii="Times New Roman" w:hAnsi="Times New Roman"/>
          <w:sz w:val="24"/>
          <w:szCs w:val="24"/>
        </w:rPr>
        <w:t xml:space="preserve"> 61). </w:t>
      </w:r>
    </w:p>
    <w:p w:rsidR="00B65464" w:rsidRPr="00D22FD8" w:rsidRDefault="00B65464" w:rsidP="00E21D72">
      <w:pPr>
        <w:spacing w:after="0" w:line="360" w:lineRule="auto"/>
        <w:ind w:firstLine="900"/>
        <w:jc w:val="both"/>
        <w:rPr>
          <w:rFonts w:ascii="Times New Roman" w:hAnsi="Times New Roman"/>
          <w:sz w:val="24"/>
          <w:szCs w:val="24"/>
        </w:rPr>
      </w:pPr>
      <w:r>
        <w:rPr>
          <w:rFonts w:ascii="Times New Roman" w:hAnsi="Times New Roman"/>
          <w:sz w:val="24"/>
          <w:szCs w:val="24"/>
        </w:rPr>
        <w:t>Angola tem sido o E</w:t>
      </w:r>
      <w:r w:rsidRPr="00D22FD8">
        <w:rPr>
          <w:rFonts w:ascii="Times New Roman" w:hAnsi="Times New Roman"/>
          <w:sz w:val="24"/>
          <w:szCs w:val="24"/>
        </w:rPr>
        <w:t>stado membro da CPLP que mais atenção tem despertado a Portugal e ao Brasil devido ao seu potencial económico e estratégico</w:t>
      </w:r>
      <w:r>
        <w:rPr>
          <w:rFonts w:ascii="Times New Roman" w:hAnsi="Times New Roman"/>
          <w:sz w:val="24"/>
          <w:szCs w:val="24"/>
        </w:rPr>
        <w:t xml:space="preserve"> (MARCHUETA, 2003)</w:t>
      </w:r>
      <w:r w:rsidRPr="00D22FD8">
        <w:rPr>
          <w:rFonts w:ascii="Times New Roman" w:hAnsi="Times New Roman"/>
          <w:sz w:val="24"/>
          <w:szCs w:val="24"/>
        </w:rPr>
        <w:t xml:space="preserve">. Por seu lado, Angola vê Portugal como </w:t>
      </w:r>
      <w:r>
        <w:rPr>
          <w:rFonts w:ascii="Times New Roman" w:hAnsi="Times New Roman"/>
          <w:sz w:val="24"/>
          <w:szCs w:val="24"/>
        </w:rPr>
        <w:t>um</w:t>
      </w:r>
      <w:r w:rsidRPr="00D22FD8">
        <w:rPr>
          <w:rFonts w:ascii="Times New Roman" w:hAnsi="Times New Roman"/>
          <w:sz w:val="24"/>
          <w:szCs w:val="24"/>
        </w:rPr>
        <w:t>a porta de acesso a uma das regiões mais ricas e avançadas do mundo - a União Europeia</w:t>
      </w:r>
      <w:r>
        <w:rPr>
          <w:rFonts w:ascii="Times New Roman" w:hAnsi="Times New Roman"/>
          <w:sz w:val="24"/>
          <w:szCs w:val="24"/>
        </w:rPr>
        <w:t xml:space="preserve"> (U.E)</w:t>
      </w:r>
      <w:r w:rsidRPr="00D22FD8">
        <w:rPr>
          <w:rFonts w:ascii="Times New Roman" w:hAnsi="Times New Roman"/>
          <w:sz w:val="24"/>
          <w:szCs w:val="24"/>
        </w:rPr>
        <w:t xml:space="preserve"> - bem como</w:t>
      </w:r>
      <w:r>
        <w:rPr>
          <w:rFonts w:ascii="Times New Roman" w:hAnsi="Times New Roman"/>
          <w:sz w:val="24"/>
          <w:szCs w:val="24"/>
        </w:rPr>
        <w:t xml:space="preserve"> um</w:t>
      </w:r>
      <w:r w:rsidRPr="00D22FD8">
        <w:rPr>
          <w:rFonts w:ascii="Times New Roman" w:hAnsi="Times New Roman"/>
          <w:sz w:val="24"/>
          <w:szCs w:val="24"/>
        </w:rPr>
        <w:t xml:space="preserve"> porta-voz junto da comunidade dadora internacional (</w:t>
      </w:r>
      <w:r>
        <w:rPr>
          <w:rFonts w:ascii="Times New Roman" w:hAnsi="Times New Roman"/>
          <w:sz w:val="24"/>
          <w:szCs w:val="24"/>
        </w:rPr>
        <w:t>MARCHUETA, 2003, p.</w:t>
      </w:r>
      <w:r w:rsidRPr="00D22FD8">
        <w:rPr>
          <w:rFonts w:ascii="Times New Roman" w:hAnsi="Times New Roman"/>
          <w:sz w:val="24"/>
          <w:szCs w:val="24"/>
        </w:rPr>
        <w:t xml:space="preserve"> 95), posição partilhada pelo Brasil e pelos restantes países membros da CPLP.</w:t>
      </w:r>
    </w:p>
    <w:p w:rsidR="00B65464" w:rsidRPr="00E5596D" w:rsidRDefault="00B65464" w:rsidP="00E21D72">
      <w:pPr>
        <w:autoSpaceDE w:val="0"/>
        <w:autoSpaceDN w:val="0"/>
        <w:adjustRightInd w:val="0"/>
        <w:snapToGrid w:val="0"/>
        <w:spacing w:after="0" w:line="360" w:lineRule="auto"/>
        <w:ind w:firstLine="900"/>
        <w:jc w:val="both"/>
        <w:rPr>
          <w:rFonts w:ascii="Times New Roman" w:hAnsi="Times New Roman"/>
          <w:sz w:val="24"/>
          <w:szCs w:val="24"/>
          <w:lang w:eastAsia="pt-PT"/>
        </w:rPr>
      </w:pPr>
      <w:r w:rsidRPr="00D22FD8">
        <w:rPr>
          <w:rFonts w:ascii="Times New Roman" w:hAnsi="Times New Roman"/>
          <w:sz w:val="24"/>
          <w:szCs w:val="24"/>
        </w:rPr>
        <w:t xml:space="preserve">Em relação à educação, em 1998, </w:t>
      </w:r>
      <w:r>
        <w:rPr>
          <w:rFonts w:ascii="Times New Roman" w:hAnsi="Times New Roman"/>
          <w:sz w:val="24"/>
          <w:szCs w:val="24"/>
        </w:rPr>
        <w:t>no âmbito da CPLP, estenderam</w:t>
      </w:r>
      <w:r w:rsidRPr="00D22FD8">
        <w:rPr>
          <w:rFonts w:ascii="Times New Roman" w:hAnsi="Times New Roman"/>
          <w:sz w:val="24"/>
          <w:szCs w:val="24"/>
        </w:rPr>
        <w:t xml:space="preserve">-se os acordos de cooperação à educação, com a celebração do </w:t>
      </w:r>
      <w:r w:rsidRPr="00D22FD8">
        <w:rPr>
          <w:rFonts w:ascii="Times New Roman" w:hAnsi="Times New Roman"/>
          <w:sz w:val="24"/>
          <w:szCs w:val="24"/>
          <w:lang w:eastAsia="pt-PT"/>
        </w:rPr>
        <w:t>Acordo de Cooperação entre Instituições de Ensino Superior dos Países Membros da CPLP, no qual ficou</w:t>
      </w:r>
      <w:r>
        <w:rPr>
          <w:rFonts w:ascii="Times New Roman" w:hAnsi="Times New Roman"/>
          <w:sz w:val="24"/>
          <w:szCs w:val="24"/>
          <w:lang w:eastAsia="pt-PT"/>
        </w:rPr>
        <w:t xml:space="preserve"> definido que “os estados-m</w:t>
      </w:r>
      <w:r w:rsidRPr="00D22FD8">
        <w:rPr>
          <w:rFonts w:ascii="Times New Roman" w:hAnsi="Times New Roman"/>
          <w:sz w:val="24"/>
          <w:szCs w:val="24"/>
          <w:lang w:eastAsia="pt-PT"/>
        </w:rPr>
        <w:t>embros promoverão a cooperação entre instituições de ensino superior mediante atividades de apoio à educação e cultura, à pesquisa e ao desenvolvimento científico e tecnológico”</w:t>
      </w:r>
      <w:r w:rsidRPr="00D22FD8">
        <w:rPr>
          <w:rStyle w:val="Refdenotadefim"/>
          <w:rFonts w:ascii="Times New Roman" w:hAnsi="Times New Roman"/>
          <w:sz w:val="24"/>
          <w:szCs w:val="24"/>
          <w:lang w:eastAsia="pt-PT"/>
        </w:rPr>
        <w:endnoteReference w:id="12"/>
      </w:r>
      <w:r w:rsidRPr="00D22FD8">
        <w:rPr>
          <w:rFonts w:ascii="Times New Roman" w:hAnsi="Times New Roman"/>
          <w:sz w:val="24"/>
          <w:szCs w:val="24"/>
          <w:lang w:eastAsia="pt-PT"/>
        </w:rPr>
        <w:t>.</w:t>
      </w:r>
      <w:r>
        <w:rPr>
          <w:rFonts w:ascii="Times New Roman" w:hAnsi="Times New Roman"/>
          <w:sz w:val="24"/>
          <w:szCs w:val="24"/>
          <w:lang w:eastAsia="pt-PT"/>
        </w:rPr>
        <w:t xml:space="preserve"> </w:t>
      </w:r>
      <w:r w:rsidRPr="00E5596D">
        <w:rPr>
          <w:rFonts w:ascii="Times New Roman" w:hAnsi="Times New Roman"/>
          <w:sz w:val="24"/>
          <w:szCs w:val="24"/>
          <w:lang w:eastAsia="pt-PT"/>
        </w:rPr>
        <w:t xml:space="preserve">Na sequência desse acordo, Portugal tem disponibilizado acesso </w:t>
      </w:r>
      <w:r>
        <w:rPr>
          <w:rFonts w:ascii="Times New Roman" w:hAnsi="Times New Roman"/>
          <w:sz w:val="24"/>
          <w:szCs w:val="24"/>
          <w:lang w:eastAsia="pt-PT"/>
        </w:rPr>
        <w:t>à</w:t>
      </w:r>
      <w:r w:rsidRPr="00E5596D">
        <w:rPr>
          <w:rFonts w:ascii="Times New Roman" w:hAnsi="Times New Roman"/>
          <w:sz w:val="24"/>
          <w:szCs w:val="24"/>
          <w:lang w:eastAsia="pt-PT"/>
        </w:rPr>
        <w:t xml:space="preserve"> </w:t>
      </w:r>
      <w:r w:rsidRPr="00E5596D">
        <w:rPr>
          <w:rFonts w:ascii="Times New Roman" w:hAnsi="Times New Roman"/>
          <w:sz w:val="24"/>
          <w:szCs w:val="24"/>
          <w:lang w:eastAsia="pt-PT"/>
        </w:rPr>
        <w:lastRenderedPageBreak/>
        <w:t>formação superior</w:t>
      </w:r>
      <w:r>
        <w:rPr>
          <w:rFonts w:ascii="Times New Roman" w:hAnsi="Times New Roman"/>
          <w:sz w:val="24"/>
          <w:szCs w:val="24"/>
          <w:lang w:eastAsia="pt-PT"/>
        </w:rPr>
        <w:t xml:space="preserve"> </w:t>
      </w:r>
      <w:r w:rsidRPr="00E5596D">
        <w:rPr>
          <w:rFonts w:ascii="Times New Roman" w:hAnsi="Times New Roman"/>
          <w:sz w:val="24"/>
          <w:szCs w:val="24"/>
          <w:lang w:eastAsia="pt-PT"/>
        </w:rPr>
        <w:t>a estudantes dos países que integram a CPLP.</w:t>
      </w:r>
      <w:r>
        <w:rPr>
          <w:rFonts w:ascii="Times New Roman" w:hAnsi="Times New Roman"/>
          <w:sz w:val="24"/>
          <w:szCs w:val="24"/>
          <w:lang w:eastAsia="pt-PT"/>
        </w:rPr>
        <w:t xml:space="preserve"> Quanto aos estudantes angolanos, o seu número tem vindo a aumentar na última década.</w:t>
      </w:r>
    </w:p>
    <w:p w:rsidR="00B65464" w:rsidRDefault="00B65464" w:rsidP="00403CF3">
      <w:pPr>
        <w:spacing w:after="0" w:line="240" w:lineRule="auto"/>
        <w:rPr>
          <w:rFonts w:eastAsia="SimSun"/>
          <w:b/>
          <w:bCs/>
          <w:color w:val="4F81BD"/>
          <w:sz w:val="18"/>
          <w:szCs w:val="18"/>
          <w:lang w:eastAsia="zh-CN"/>
        </w:rPr>
      </w:pPr>
    </w:p>
    <w:p w:rsidR="00B65464" w:rsidRPr="00D22FD8" w:rsidRDefault="00B65464" w:rsidP="00403CF3">
      <w:pPr>
        <w:pStyle w:val="legendastese"/>
      </w:pPr>
      <w:r>
        <w:t xml:space="preserve">Quadro 7. </w:t>
      </w:r>
      <w:r w:rsidRPr="00EF6330">
        <w:t>Alunos Nacionais de Angola Inscritos nas Universidades Port</w:t>
      </w:r>
      <w:r>
        <w:t>uguesas por área de Educação e Formação (CNAEF)</w:t>
      </w:r>
      <w:r w:rsidRPr="00EF6330">
        <w:t>, 1997-1998 a 2007-2008</w:t>
      </w:r>
    </w:p>
    <w:tbl>
      <w:tblPr>
        <w:tblStyle w:val="Tabelacomgrelha"/>
        <w:tblW w:w="9781" w:type="dxa"/>
        <w:tblInd w:w="108" w:type="dxa"/>
        <w:tblLayout w:type="fixed"/>
        <w:tblLook w:val="04A0" w:firstRow="1" w:lastRow="0" w:firstColumn="1" w:lastColumn="0" w:noHBand="0" w:noVBand="1"/>
      </w:tblPr>
      <w:tblGrid>
        <w:gridCol w:w="1985"/>
        <w:gridCol w:w="709"/>
        <w:gridCol w:w="708"/>
        <w:gridCol w:w="709"/>
        <w:gridCol w:w="709"/>
        <w:gridCol w:w="709"/>
        <w:gridCol w:w="708"/>
        <w:gridCol w:w="709"/>
        <w:gridCol w:w="709"/>
        <w:gridCol w:w="709"/>
        <w:gridCol w:w="708"/>
        <w:gridCol w:w="709"/>
      </w:tblGrid>
      <w:tr w:rsidR="00B65464" w:rsidRPr="001E1A09" w:rsidTr="00403CF3">
        <w:tc>
          <w:tcPr>
            <w:tcW w:w="1985" w:type="dxa"/>
            <w:shd w:val="clear" w:color="auto" w:fill="D9D9D9" w:themeFill="background1" w:themeFillShade="D9"/>
            <w:vAlign w:val="center"/>
          </w:tcPr>
          <w:p w:rsidR="00B65464" w:rsidRPr="001E1A09" w:rsidRDefault="00B65464" w:rsidP="00403CF3">
            <w:pPr>
              <w:pStyle w:val="Quadros"/>
              <w:jc w:val="center"/>
            </w:pPr>
            <w:r w:rsidRPr="001E1A09">
              <w:t>Áreas de Educação e Formação</w:t>
            </w:r>
          </w:p>
        </w:tc>
        <w:tc>
          <w:tcPr>
            <w:tcW w:w="709" w:type="dxa"/>
            <w:shd w:val="clear" w:color="auto" w:fill="BFBFBF" w:themeFill="background1" w:themeFillShade="BF"/>
            <w:vAlign w:val="center"/>
          </w:tcPr>
          <w:p w:rsidR="00B65464" w:rsidRPr="001E1A09" w:rsidRDefault="00B65464" w:rsidP="00403CF3">
            <w:pPr>
              <w:pStyle w:val="Quadros"/>
            </w:pPr>
            <w:r w:rsidRPr="001E1A09">
              <w:t>1997/98</w:t>
            </w:r>
          </w:p>
        </w:tc>
        <w:tc>
          <w:tcPr>
            <w:tcW w:w="708" w:type="dxa"/>
            <w:shd w:val="clear" w:color="auto" w:fill="BFBFBF" w:themeFill="background1" w:themeFillShade="BF"/>
            <w:vAlign w:val="center"/>
          </w:tcPr>
          <w:p w:rsidR="00B65464" w:rsidRPr="001E1A09" w:rsidRDefault="00B65464" w:rsidP="00403CF3">
            <w:pPr>
              <w:pStyle w:val="Quadros"/>
            </w:pPr>
            <w:r w:rsidRPr="001E1A09">
              <w:t>1998/99</w:t>
            </w:r>
          </w:p>
        </w:tc>
        <w:tc>
          <w:tcPr>
            <w:tcW w:w="709" w:type="dxa"/>
            <w:shd w:val="clear" w:color="auto" w:fill="BFBFBF" w:themeFill="background1" w:themeFillShade="BF"/>
            <w:vAlign w:val="center"/>
          </w:tcPr>
          <w:p w:rsidR="00B65464" w:rsidRPr="001E1A09" w:rsidRDefault="00B65464" w:rsidP="00403CF3">
            <w:pPr>
              <w:pStyle w:val="Quadros"/>
            </w:pPr>
            <w:r w:rsidRPr="001E1A09">
              <w:t>1999/00</w:t>
            </w:r>
          </w:p>
        </w:tc>
        <w:tc>
          <w:tcPr>
            <w:tcW w:w="709" w:type="dxa"/>
            <w:shd w:val="clear" w:color="auto" w:fill="BFBFBF" w:themeFill="background1" w:themeFillShade="BF"/>
            <w:vAlign w:val="center"/>
          </w:tcPr>
          <w:p w:rsidR="00B65464" w:rsidRPr="001E1A09" w:rsidRDefault="00B65464" w:rsidP="00403CF3">
            <w:pPr>
              <w:pStyle w:val="Quadros"/>
            </w:pPr>
            <w:r w:rsidRPr="001E1A09">
              <w:t>2000/01</w:t>
            </w:r>
          </w:p>
        </w:tc>
        <w:tc>
          <w:tcPr>
            <w:tcW w:w="709" w:type="dxa"/>
            <w:shd w:val="clear" w:color="auto" w:fill="BFBFBF" w:themeFill="background1" w:themeFillShade="BF"/>
            <w:vAlign w:val="center"/>
          </w:tcPr>
          <w:p w:rsidR="00B65464" w:rsidRPr="001E1A09" w:rsidRDefault="00B65464" w:rsidP="00403CF3">
            <w:pPr>
              <w:pStyle w:val="Quadros"/>
            </w:pPr>
            <w:r w:rsidRPr="001E1A09">
              <w:t>2001/02</w:t>
            </w:r>
          </w:p>
        </w:tc>
        <w:tc>
          <w:tcPr>
            <w:tcW w:w="708" w:type="dxa"/>
            <w:shd w:val="clear" w:color="auto" w:fill="BFBFBF" w:themeFill="background1" w:themeFillShade="BF"/>
            <w:vAlign w:val="center"/>
          </w:tcPr>
          <w:p w:rsidR="00B65464" w:rsidRPr="001E1A09" w:rsidRDefault="00B65464" w:rsidP="00403CF3">
            <w:pPr>
              <w:pStyle w:val="Quadros"/>
            </w:pPr>
            <w:r w:rsidRPr="001E1A09">
              <w:t>2002/03</w:t>
            </w:r>
          </w:p>
        </w:tc>
        <w:tc>
          <w:tcPr>
            <w:tcW w:w="709" w:type="dxa"/>
            <w:shd w:val="clear" w:color="auto" w:fill="BFBFBF" w:themeFill="background1" w:themeFillShade="BF"/>
            <w:vAlign w:val="center"/>
          </w:tcPr>
          <w:p w:rsidR="00B65464" w:rsidRPr="001E1A09" w:rsidRDefault="00B65464" w:rsidP="00403CF3">
            <w:pPr>
              <w:pStyle w:val="Quadros"/>
            </w:pPr>
            <w:r w:rsidRPr="001E1A09">
              <w:t>2003/04</w:t>
            </w:r>
          </w:p>
        </w:tc>
        <w:tc>
          <w:tcPr>
            <w:tcW w:w="709" w:type="dxa"/>
            <w:shd w:val="clear" w:color="auto" w:fill="BFBFBF" w:themeFill="background1" w:themeFillShade="BF"/>
            <w:vAlign w:val="center"/>
          </w:tcPr>
          <w:p w:rsidR="00B65464" w:rsidRPr="001E1A09" w:rsidRDefault="00B65464" w:rsidP="00403CF3">
            <w:pPr>
              <w:pStyle w:val="Quadros"/>
            </w:pPr>
            <w:r w:rsidRPr="001E1A09">
              <w:t>2004/05</w:t>
            </w:r>
          </w:p>
        </w:tc>
        <w:tc>
          <w:tcPr>
            <w:tcW w:w="709" w:type="dxa"/>
            <w:shd w:val="clear" w:color="auto" w:fill="BFBFBF" w:themeFill="background1" w:themeFillShade="BF"/>
            <w:vAlign w:val="center"/>
          </w:tcPr>
          <w:p w:rsidR="00B65464" w:rsidRPr="001E1A09" w:rsidRDefault="00B65464" w:rsidP="00403CF3">
            <w:pPr>
              <w:pStyle w:val="Quadros"/>
            </w:pPr>
            <w:r w:rsidRPr="001E1A09">
              <w:t>2005/06</w:t>
            </w:r>
          </w:p>
        </w:tc>
        <w:tc>
          <w:tcPr>
            <w:tcW w:w="708" w:type="dxa"/>
            <w:shd w:val="clear" w:color="auto" w:fill="BFBFBF" w:themeFill="background1" w:themeFillShade="BF"/>
            <w:vAlign w:val="center"/>
          </w:tcPr>
          <w:p w:rsidR="00B65464" w:rsidRPr="001E1A09" w:rsidRDefault="00B65464" w:rsidP="00403CF3">
            <w:pPr>
              <w:pStyle w:val="Quadros"/>
            </w:pPr>
            <w:r w:rsidRPr="001E1A09">
              <w:t>2006/07</w:t>
            </w:r>
          </w:p>
        </w:tc>
        <w:tc>
          <w:tcPr>
            <w:tcW w:w="709" w:type="dxa"/>
            <w:shd w:val="clear" w:color="auto" w:fill="BFBFBF" w:themeFill="background1" w:themeFillShade="BF"/>
            <w:vAlign w:val="center"/>
          </w:tcPr>
          <w:p w:rsidR="00B65464" w:rsidRPr="001E1A09" w:rsidRDefault="00B65464" w:rsidP="00403CF3">
            <w:pPr>
              <w:pStyle w:val="Quadros"/>
            </w:pPr>
            <w:r w:rsidRPr="001E1A09">
              <w:t>2007/08</w:t>
            </w:r>
          </w:p>
        </w:tc>
      </w:tr>
      <w:tr w:rsidR="00B65464" w:rsidRPr="001E1A09" w:rsidTr="00403CF3">
        <w:tc>
          <w:tcPr>
            <w:tcW w:w="1985" w:type="dxa"/>
            <w:vAlign w:val="center"/>
          </w:tcPr>
          <w:p w:rsidR="00B65464" w:rsidRPr="001E1A09" w:rsidRDefault="00B65464" w:rsidP="00403CF3">
            <w:pPr>
              <w:pStyle w:val="Quadros"/>
              <w:jc w:val="left"/>
            </w:pPr>
            <w:r w:rsidRPr="001E1A09">
              <w:t>Educação</w:t>
            </w:r>
          </w:p>
        </w:tc>
        <w:tc>
          <w:tcPr>
            <w:tcW w:w="709" w:type="dxa"/>
            <w:vAlign w:val="center"/>
          </w:tcPr>
          <w:p w:rsidR="00B65464" w:rsidRPr="001E1A09" w:rsidRDefault="00B65464" w:rsidP="00403CF3">
            <w:pPr>
              <w:pStyle w:val="Quadros"/>
            </w:pPr>
            <w:r w:rsidRPr="001E1A09">
              <w:t>174</w:t>
            </w:r>
          </w:p>
        </w:tc>
        <w:tc>
          <w:tcPr>
            <w:tcW w:w="708" w:type="dxa"/>
            <w:vAlign w:val="center"/>
          </w:tcPr>
          <w:p w:rsidR="00B65464" w:rsidRPr="001E1A09" w:rsidRDefault="00B65464" w:rsidP="00403CF3">
            <w:pPr>
              <w:pStyle w:val="Quadros"/>
            </w:pPr>
            <w:r w:rsidRPr="001E1A09">
              <w:t>103</w:t>
            </w:r>
          </w:p>
        </w:tc>
        <w:tc>
          <w:tcPr>
            <w:tcW w:w="709" w:type="dxa"/>
            <w:vAlign w:val="center"/>
          </w:tcPr>
          <w:p w:rsidR="00B65464" w:rsidRPr="001E1A09" w:rsidRDefault="00B65464" w:rsidP="00403CF3">
            <w:pPr>
              <w:pStyle w:val="Quadros"/>
            </w:pPr>
            <w:r w:rsidRPr="001E1A09">
              <w:t>136</w:t>
            </w:r>
          </w:p>
        </w:tc>
        <w:tc>
          <w:tcPr>
            <w:tcW w:w="709" w:type="dxa"/>
            <w:vAlign w:val="center"/>
          </w:tcPr>
          <w:p w:rsidR="00B65464" w:rsidRPr="001E1A09" w:rsidRDefault="00B65464" w:rsidP="00403CF3">
            <w:pPr>
              <w:pStyle w:val="Quadros"/>
            </w:pPr>
            <w:r w:rsidRPr="001E1A09">
              <w:t>328</w:t>
            </w:r>
          </w:p>
        </w:tc>
        <w:tc>
          <w:tcPr>
            <w:tcW w:w="709" w:type="dxa"/>
            <w:vAlign w:val="center"/>
          </w:tcPr>
          <w:p w:rsidR="00B65464" w:rsidRPr="001E1A09" w:rsidRDefault="00B65464" w:rsidP="00403CF3">
            <w:pPr>
              <w:pStyle w:val="Quadros"/>
            </w:pPr>
            <w:r w:rsidRPr="001E1A09">
              <w:t>178</w:t>
            </w:r>
          </w:p>
        </w:tc>
        <w:tc>
          <w:tcPr>
            <w:tcW w:w="708" w:type="dxa"/>
            <w:vAlign w:val="center"/>
          </w:tcPr>
          <w:p w:rsidR="00B65464" w:rsidRPr="001E1A09" w:rsidRDefault="00B65464" w:rsidP="00403CF3">
            <w:pPr>
              <w:pStyle w:val="Quadros"/>
            </w:pPr>
            <w:r w:rsidRPr="001E1A09">
              <w:t>166</w:t>
            </w:r>
          </w:p>
        </w:tc>
        <w:tc>
          <w:tcPr>
            <w:tcW w:w="709" w:type="dxa"/>
            <w:vAlign w:val="center"/>
          </w:tcPr>
          <w:p w:rsidR="00B65464" w:rsidRPr="001E1A09" w:rsidRDefault="00B65464" w:rsidP="00403CF3">
            <w:pPr>
              <w:pStyle w:val="Quadros"/>
            </w:pPr>
            <w:r w:rsidRPr="001E1A09">
              <w:t>96</w:t>
            </w:r>
          </w:p>
        </w:tc>
        <w:tc>
          <w:tcPr>
            <w:tcW w:w="709" w:type="dxa"/>
            <w:vAlign w:val="center"/>
          </w:tcPr>
          <w:p w:rsidR="00B65464" w:rsidRPr="001E1A09" w:rsidRDefault="00B65464" w:rsidP="00403CF3">
            <w:pPr>
              <w:pStyle w:val="Quadros"/>
            </w:pPr>
            <w:r w:rsidRPr="001E1A09">
              <w:t>82</w:t>
            </w:r>
          </w:p>
        </w:tc>
        <w:tc>
          <w:tcPr>
            <w:tcW w:w="709" w:type="dxa"/>
            <w:vAlign w:val="center"/>
          </w:tcPr>
          <w:p w:rsidR="00B65464" w:rsidRPr="001E1A09" w:rsidRDefault="00B65464" w:rsidP="00403CF3">
            <w:pPr>
              <w:pStyle w:val="Quadros"/>
            </w:pPr>
            <w:r w:rsidRPr="001E1A09">
              <w:t>174</w:t>
            </w:r>
          </w:p>
        </w:tc>
        <w:tc>
          <w:tcPr>
            <w:tcW w:w="708" w:type="dxa"/>
            <w:vAlign w:val="center"/>
          </w:tcPr>
          <w:p w:rsidR="00B65464" w:rsidRPr="001E1A09" w:rsidRDefault="00B65464" w:rsidP="00403CF3">
            <w:pPr>
              <w:pStyle w:val="Quadros"/>
            </w:pPr>
            <w:r w:rsidRPr="001E1A09">
              <w:t>118</w:t>
            </w:r>
          </w:p>
        </w:tc>
        <w:tc>
          <w:tcPr>
            <w:tcW w:w="709" w:type="dxa"/>
            <w:vAlign w:val="center"/>
          </w:tcPr>
          <w:p w:rsidR="00B65464" w:rsidRPr="001E1A09" w:rsidRDefault="00B65464" w:rsidP="00403CF3">
            <w:pPr>
              <w:pStyle w:val="Quadros"/>
            </w:pPr>
            <w:r w:rsidRPr="001E1A09">
              <w:t>79</w:t>
            </w:r>
          </w:p>
        </w:tc>
      </w:tr>
      <w:tr w:rsidR="00B65464" w:rsidRPr="001E1A09" w:rsidTr="00403CF3">
        <w:tc>
          <w:tcPr>
            <w:tcW w:w="1985" w:type="dxa"/>
            <w:vAlign w:val="center"/>
          </w:tcPr>
          <w:p w:rsidR="00B65464" w:rsidRPr="001E1A09" w:rsidRDefault="00B65464" w:rsidP="00403CF3">
            <w:pPr>
              <w:pStyle w:val="Quadros"/>
              <w:jc w:val="left"/>
            </w:pPr>
            <w:r w:rsidRPr="001E1A09">
              <w:t>Artes e Humanidades</w:t>
            </w:r>
          </w:p>
        </w:tc>
        <w:tc>
          <w:tcPr>
            <w:tcW w:w="709" w:type="dxa"/>
            <w:vAlign w:val="center"/>
          </w:tcPr>
          <w:p w:rsidR="00B65464" w:rsidRPr="001E1A09" w:rsidRDefault="00B65464" w:rsidP="00403CF3">
            <w:pPr>
              <w:pStyle w:val="Quadros"/>
            </w:pPr>
            <w:r w:rsidRPr="001E1A09">
              <w:t>111</w:t>
            </w:r>
          </w:p>
        </w:tc>
        <w:tc>
          <w:tcPr>
            <w:tcW w:w="708" w:type="dxa"/>
            <w:vAlign w:val="center"/>
          </w:tcPr>
          <w:p w:rsidR="00B65464" w:rsidRPr="001E1A09" w:rsidRDefault="00B65464" w:rsidP="00403CF3">
            <w:pPr>
              <w:pStyle w:val="Quadros"/>
            </w:pPr>
            <w:r w:rsidRPr="001E1A09">
              <w:t>137</w:t>
            </w:r>
          </w:p>
        </w:tc>
        <w:tc>
          <w:tcPr>
            <w:tcW w:w="709" w:type="dxa"/>
            <w:vAlign w:val="center"/>
          </w:tcPr>
          <w:p w:rsidR="00B65464" w:rsidRPr="001E1A09" w:rsidRDefault="00B65464" w:rsidP="00403CF3">
            <w:pPr>
              <w:pStyle w:val="Quadros"/>
            </w:pPr>
            <w:r w:rsidRPr="001E1A09">
              <w:t>157</w:t>
            </w:r>
          </w:p>
        </w:tc>
        <w:tc>
          <w:tcPr>
            <w:tcW w:w="709" w:type="dxa"/>
            <w:vAlign w:val="center"/>
          </w:tcPr>
          <w:p w:rsidR="00B65464" w:rsidRPr="001E1A09" w:rsidRDefault="00B65464" w:rsidP="00403CF3">
            <w:pPr>
              <w:pStyle w:val="Quadros"/>
            </w:pPr>
            <w:r w:rsidRPr="001E1A09">
              <w:t>111</w:t>
            </w:r>
          </w:p>
        </w:tc>
        <w:tc>
          <w:tcPr>
            <w:tcW w:w="709" w:type="dxa"/>
            <w:vAlign w:val="center"/>
          </w:tcPr>
          <w:p w:rsidR="00B65464" w:rsidRPr="001E1A09" w:rsidRDefault="00B65464" w:rsidP="00403CF3">
            <w:pPr>
              <w:pStyle w:val="Quadros"/>
            </w:pPr>
            <w:r w:rsidRPr="001E1A09">
              <w:t>144</w:t>
            </w:r>
          </w:p>
        </w:tc>
        <w:tc>
          <w:tcPr>
            <w:tcW w:w="708" w:type="dxa"/>
            <w:vAlign w:val="center"/>
          </w:tcPr>
          <w:p w:rsidR="00B65464" w:rsidRPr="001E1A09" w:rsidRDefault="00B65464" w:rsidP="00403CF3">
            <w:pPr>
              <w:pStyle w:val="Quadros"/>
            </w:pPr>
            <w:r w:rsidRPr="001E1A09">
              <w:t>155</w:t>
            </w:r>
          </w:p>
        </w:tc>
        <w:tc>
          <w:tcPr>
            <w:tcW w:w="709" w:type="dxa"/>
            <w:vAlign w:val="center"/>
          </w:tcPr>
          <w:p w:rsidR="00B65464" w:rsidRPr="001E1A09" w:rsidRDefault="00B65464" w:rsidP="00403CF3">
            <w:pPr>
              <w:pStyle w:val="Quadros"/>
            </w:pPr>
            <w:r w:rsidRPr="001E1A09">
              <w:t>178</w:t>
            </w:r>
          </w:p>
        </w:tc>
        <w:tc>
          <w:tcPr>
            <w:tcW w:w="709" w:type="dxa"/>
            <w:vAlign w:val="center"/>
          </w:tcPr>
          <w:p w:rsidR="00B65464" w:rsidRPr="001E1A09" w:rsidRDefault="00B65464" w:rsidP="00403CF3">
            <w:pPr>
              <w:pStyle w:val="Quadros"/>
            </w:pPr>
            <w:r w:rsidRPr="001E1A09">
              <w:t>277</w:t>
            </w:r>
          </w:p>
        </w:tc>
        <w:tc>
          <w:tcPr>
            <w:tcW w:w="709" w:type="dxa"/>
            <w:vAlign w:val="center"/>
          </w:tcPr>
          <w:p w:rsidR="00B65464" w:rsidRPr="001E1A09" w:rsidRDefault="00B65464" w:rsidP="00403CF3">
            <w:pPr>
              <w:pStyle w:val="Quadros"/>
            </w:pPr>
            <w:r w:rsidRPr="001E1A09">
              <w:t>263</w:t>
            </w:r>
          </w:p>
        </w:tc>
        <w:tc>
          <w:tcPr>
            <w:tcW w:w="708" w:type="dxa"/>
            <w:vAlign w:val="center"/>
          </w:tcPr>
          <w:p w:rsidR="00B65464" w:rsidRPr="001E1A09" w:rsidRDefault="00B65464" w:rsidP="00403CF3">
            <w:pPr>
              <w:pStyle w:val="Quadros"/>
            </w:pPr>
            <w:r w:rsidRPr="001E1A09">
              <w:t>308</w:t>
            </w:r>
          </w:p>
        </w:tc>
        <w:tc>
          <w:tcPr>
            <w:tcW w:w="709" w:type="dxa"/>
            <w:vAlign w:val="center"/>
          </w:tcPr>
          <w:p w:rsidR="00B65464" w:rsidRPr="001E1A09" w:rsidRDefault="00B65464" w:rsidP="00403CF3">
            <w:pPr>
              <w:pStyle w:val="Quadros"/>
            </w:pPr>
            <w:r w:rsidRPr="001E1A09">
              <w:t>284</w:t>
            </w:r>
          </w:p>
        </w:tc>
      </w:tr>
      <w:tr w:rsidR="00B65464" w:rsidRPr="001E1A09" w:rsidTr="00403CF3">
        <w:tc>
          <w:tcPr>
            <w:tcW w:w="1985" w:type="dxa"/>
            <w:vAlign w:val="center"/>
          </w:tcPr>
          <w:p w:rsidR="00B65464" w:rsidRPr="001E1A09" w:rsidRDefault="00B65464" w:rsidP="00403CF3">
            <w:pPr>
              <w:pStyle w:val="Quadros"/>
              <w:jc w:val="left"/>
            </w:pPr>
            <w:r w:rsidRPr="001E1A09">
              <w:t>Ciências Sociais, Comércio e Direito</w:t>
            </w:r>
          </w:p>
        </w:tc>
        <w:tc>
          <w:tcPr>
            <w:tcW w:w="709" w:type="dxa"/>
            <w:vAlign w:val="center"/>
          </w:tcPr>
          <w:p w:rsidR="00B65464" w:rsidRPr="001E1A09" w:rsidRDefault="00B65464" w:rsidP="00403CF3">
            <w:pPr>
              <w:pStyle w:val="Quadros"/>
            </w:pPr>
            <w:r w:rsidRPr="001E1A09">
              <w:t>875</w:t>
            </w:r>
          </w:p>
        </w:tc>
        <w:tc>
          <w:tcPr>
            <w:tcW w:w="708" w:type="dxa"/>
            <w:vAlign w:val="center"/>
          </w:tcPr>
          <w:p w:rsidR="00B65464" w:rsidRPr="001E1A09" w:rsidRDefault="00B65464" w:rsidP="00403CF3">
            <w:pPr>
              <w:pStyle w:val="Quadros"/>
            </w:pPr>
            <w:r w:rsidRPr="001E1A09">
              <w:t>994</w:t>
            </w:r>
          </w:p>
        </w:tc>
        <w:tc>
          <w:tcPr>
            <w:tcW w:w="709" w:type="dxa"/>
            <w:vAlign w:val="center"/>
          </w:tcPr>
          <w:p w:rsidR="00B65464" w:rsidRPr="001E1A09" w:rsidRDefault="00B65464" w:rsidP="00403CF3">
            <w:pPr>
              <w:pStyle w:val="Quadros"/>
            </w:pPr>
            <w:r w:rsidRPr="001E1A09">
              <w:t>1117</w:t>
            </w:r>
          </w:p>
        </w:tc>
        <w:tc>
          <w:tcPr>
            <w:tcW w:w="709" w:type="dxa"/>
            <w:vAlign w:val="center"/>
          </w:tcPr>
          <w:p w:rsidR="00B65464" w:rsidRPr="001E1A09" w:rsidRDefault="00B65464" w:rsidP="00403CF3">
            <w:pPr>
              <w:pStyle w:val="Quadros"/>
            </w:pPr>
            <w:r w:rsidRPr="001E1A09">
              <w:t>1257</w:t>
            </w:r>
          </w:p>
        </w:tc>
        <w:tc>
          <w:tcPr>
            <w:tcW w:w="709" w:type="dxa"/>
            <w:vAlign w:val="center"/>
          </w:tcPr>
          <w:p w:rsidR="00B65464" w:rsidRPr="001E1A09" w:rsidRDefault="00B65464" w:rsidP="00403CF3">
            <w:pPr>
              <w:pStyle w:val="Quadros"/>
            </w:pPr>
            <w:r w:rsidRPr="001E1A09">
              <w:t>1708</w:t>
            </w:r>
          </w:p>
        </w:tc>
        <w:tc>
          <w:tcPr>
            <w:tcW w:w="708" w:type="dxa"/>
            <w:vAlign w:val="center"/>
          </w:tcPr>
          <w:p w:rsidR="00B65464" w:rsidRPr="001E1A09" w:rsidRDefault="00B65464" w:rsidP="00403CF3">
            <w:pPr>
              <w:pStyle w:val="Quadros"/>
            </w:pPr>
            <w:r w:rsidRPr="001E1A09">
              <w:t>1796</w:t>
            </w:r>
          </w:p>
        </w:tc>
        <w:tc>
          <w:tcPr>
            <w:tcW w:w="709" w:type="dxa"/>
            <w:vAlign w:val="center"/>
          </w:tcPr>
          <w:p w:rsidR="00B65464" w:rsidRPr="001E1A09" w:rsidRDefault="00B65464" w:rsidP="00403CF3">
            <w:pPr>
              <w:pStyle w:val="Quadros"/>
            </w:pPr>
            <w:r w:rsidRPr="001E1A09">
              <w:t>2012</w:t>
            </w:r>
          </w:p>
        </w:tc>
        <w:tc>
          <w:tcPr>
            <w:tcW w:w="709" w:type="dxa"/>
            <w:vAlign w:val="center"/>
          </w:tcPr>
          <w:p w:rsidR="00B65464" w:rsidRPr="001E1A09" w:rsidRDefault="00B65464" w:rsidP="00403CF3">
            <w:pPr>
              <w:pStyle w:val="Quadros"/>
            </w:pPr>
            <w:r w:rsidRPr="001E1A09">
              <w:t>2622</w:t>
            </w:r>
          </w:p>
        </w:tc>
        <w:tc>
          <w:tcPr>
            <w:tcW w:w="709" w:type="dxa"/>
            <w:vAlign w:val="center"/>
          </w:tcPr>
          <w:p w:rsidR="00B65464" w:rsidRPr="001E1A09" w:rsidRDefault="00B65464" w:rsidP="00403CF3">
            <w:pPr>
              <w:pStyle w:val="Quadros"/>
            </w:pPr>
            <w:r w:rsidRPr="001E1A09">
              <w:t>2563</w:t>
            </w:r>
          </w:p>
        </w:tc>
        <w:tc>
          <w:tcPr>
            <w:tcW w:w="708" w:type="dxa"/>
            <w:vAlign w:val="center"/>
          </w:tcPr>
          <w:p w:rsidR="00B65464" w:rsidRPr="001E1A09" w:rsidRDefault="00B65464" w:rsidP="00403CF3">
            <w:pPr>
              <w:pStyle w:val="Quadros"/>
            </w:pPr>
            <w:r w:rsidRPr="001E1A09">
              <w:t>3174</w:t>
            </w:r>
          </w:p>
        </w:tc>
        <w:tc>
          <w:tcPr>
            <w:tcW w:w="709" w:type="dxa"/>
            <w:vAlign w:val="center"/>
          </w:tcPr>
          <w:p w:rsidR="00B65464" w:rsidRPr="001E1A09" w:rsidRDefault="00B65464" w:rsidP="00403CF3">
            <w:pPr>
              <w:pStyle w:val="Quadros"/>
            </w:pPr>
            <w:r w:rsidRPr="001E1A09">
              <w:t>3113</w:t>
            </w:r>
          </w:p>
        </w:tc>
      </w:tr>
      <w:tr w:rsidR="00B65464" w:rsidRPr="001E1A09" w:rsidTr="00403CF3">
        <w:tc>
          <w:tcPr>
            <w:tcW w:w="1985" w:type="dxa"/>
            <w:vAlign w:val="center"/>
          </w:tcPr>
          <w:p w:rsidR="00B65464" w:rsidRPr="001E1A09" w:rsidRDefault="00B65464" w:rsidP="00403CF3">
            <w:pPr>
              <w:pStyle w:val="Quadros"/>
              <w:jc w:val="left"/>
            </w:pPr>
            <w:r w:rsidRPr="001E1A09">
              <w:t>Ciências, Matemática e Informática</w:t>
            </w:r>
          </w:p>
        </w:tc>
        <w:tc>
          <w:tcPr>
            <w:tcW w:w="709" w:type="dxa"/>
            <w:vAlign w:val="center"/>
          </w:tcPr>
          <w:p w:rsidR="00B65464" w:rsidRPr="001E1A09" w:rsidRDefault="00B65464" w:rsidP="00403CF3">
            <w:pPr>
              <w:pStyle w:val="Quadros"/>
            </w:pPr>
            <w:r w:rsidRPr="001E1A09">
              <w:t>125</w:t>
            </w:r>
          </w:p>
        </w:tc>
        <w:tc>
          <w:tcPr>
            <w:tcW w:w="708" w:type="dxa"/>
            <w:vAlign w:val="center"/>
          </w:tcPr>
          <w:p w:rsidR="00B65464" w:rsidRPr="001E1A09" w:rsidRDefault="00B65464" w:rsidP="00403CF3">
            <w:pPr>
              <w:pStyle w:val="Quadros"/>
            </w:pPr>
            <w:r w:rsidRPr="001E1A09">
              <w:t>145</w:t>
            </w:r>
          </w:p>
        </w:tc>
        <w:tc>
          <w:tcPr>
            <w:tcW w:w="709" w:type="dxa"/>
            <w:vAlign w:val="center"/>
          </w:tcPr>
          <w:p w:rsidR="00B65464" w:rsidRPr="001E1A09" w:rsidRDefault="00B65464" w:rsidP="00403CF3">
            <w:pPr>
              <w:pStyle w:val="Quadros"/>
            </w:pPr>
            <w:r w:rsidRPr="001E1A09">
              <w:t>102</w:t>
            </w:r>
          </w:p>
        </w:tc>
        <w:tc>
          <w:tcPr>
            <w:tcW w:w="709" w:type="dxa"/>
            <w:vAlign w:val="center"/>
          </w:tcPr>
          <w:p w:rsidR="00B65464" w:rsidRPr="001E1A09" w:rsidRDefault="00B65464" w:rsidP="00403CF3">
            <w:pPr>
              <w:pStyle w:val="Quadros"/>
            </w:pPr>
            <w:r w:rsidRPr="001E1A09">
              <w:t>155</w:t>
            </w:r>
          </w:p>
        </w:tc>
        <w:tc>
          <w:tcPr>
            <w:tcW w:w="709" w:type="dxa"/>
            <w:vAlign w:val="center"/>
          </w:tcPr>
          <w:p w:rsidR="00B65464" w:rsidRPr="001E1A09" w:rsidRDefault="00B65464" w:rsidP="00403CF3">
            <w:pPr>
              <w:pStyle w:val="Quadros"/>
            </w:pPr>
            <w:r w:rsidRPr="001E1A09">
              <w:t>171</w:t>
            </w:r>
          </w:p>
        </w:tc>
        <w:tc>
          <w:tcPr>
            <w:tcW w:w="708" w:type="dxa"/>
            <w:vAlign w:val="center"/>
          </w:tcPr>
          <w:p w:rsidR="00B65464" w:rsidRPr="001E1A09" w:rsidRDefault="00B65464" w:rsidP="00403CF3">
            <w:pPr>
              <w:pStyle w:val="Quadros"/>
            </w:pPr>
            <w:r w:rsidRPr="001E1A09">
              <w:t>220</w:t>
            </w:r>
          </w:p>
        </w:tc>
        <w:tc>
          <w:tcPr>
            <w:tcW w:w="709" w:type="dxa"/>
            <w:vAlign w:val="center"/>
          </w:tcPr>
          <w:p w:rsidR="00B65464" w:rsidRPr="001E1A09" w:rsidRDefault="00B65464" w:rsidP="00403CF3">
            <w:pPr>
              <w:pStyle w:val="Quadros"/>
            </w:pPr>
            <w:r w:rsidRPr="001E1A09">
              <w:t>258</w:t>
            </w:r>
          </w:p>
        </w:tc>
        <w:tc>
          <w:tcPr>
            <w:tcW w:w="709" w:type="dxa"/>
            <w:vAlign w:val="center"/>
          </w:tcPr>
          <w:p w:rsidR="00B65464" w:rsidRPr="001E1A09" w:rsidRDefault="00B65464" w:rsidP="00403CF3">
            <w:pPr>
              <w:pStyle w:val="Quadros"/>
            </w:pPr>
            <w:r w:rsidRPr="001E1A09">
              <w:t>397</w:t>
            </w:r>
          </w:p>
        </w:tc>
        <w:tc>
          <w:tcPr>
            <w:tcW w:w="709" w:type="dxa"/>
            <w:vAlign w:val="center"/>
          </w:tcPr>
          <w:p w:rsidR="00B65464" w:rsidRPr="001E1A09" w:rsidRDefault="00B65464" w:rsidP="00403CF3">
            <w:pPr>
              <w:pStyle w:val="Quadros"/>
            </w:pPr>
            <w:r w:rsidRPr="001E1A09">
              <w:t>250</w:t>
            </w:r>
          </w:p>
        </w:tc>
        <w:tc>
          <w:tcPr>
            <w:tcW w:w="708" w:type="dxa"/>
            <w:vAlign w:val="center"/>
          </w:tcPr>
          <w:p w:rsidR="00B65464" w:rsidRPr="001E1A09" w:rsidRDefault="00B65464" w:rsidP="00403CF3">
            <w:pPr>
              <w:pStyle w:val="Quadros"/>
            </w:pPr>
            <w:r w:rsidRPr="001E1A09">
              <w:t>305</w:t>
            </w:r>
          </w:p>
        </w:tc>
        <w:tc>
          <w:tcPr>
            <w:tcW w:w="709" w:type="dxa"/>
            <w:vAlign w:val="center"/>
          </w:tcPr>
          <w:p w:rsidR="00B65464" w:rsidRPr="001E1A09" w:rsidRDefault="00B65464" w:rsidP="00403CF3">
            <w:pPr>
              <w:pStyle w:val="Quadros"/>
            </w:pPr>
            <w:r w:rsidRPr="001E1A09">
              <w:t>315</w:t>
            </w:r>
          </w:p>
        </w:tc>
      </w:tr>
      <w:tr w:rsidR="00B65464" w:rsidRPr="001E1A09" w:rsidTr="00403CF3">
        <w:tc>
          <w:tcPr>
            <w:tcW w:w="1985" w:type="dxa"/>
            <w:vAlign w:val="center"/>
          </w:tcPr>
          <w:p w:rsidR="00B65464" w:rsidRPr="001E1A09" w:rsidRDefault="00B65464" w:rsidP="00403CF3">
            <w:pPr>
              <w:pStyle w:val="Quadros"/>
              <w:jc w:val="left"/>
            </w:pPr>
            <w:r w:rsidRPr="001E1A09">
              <w:t>Engenharia, Indústrias Transformadoras e Construção</w:t>
            </w:r>
          </w:p>
        </w:tc>
        <w:tc>
          <w:tcPr>
            <w:tcW w:w="709" w:type="dxa"/>
            <w:vAlign w:val="center"/>
          </w:tcPr>
          <w:p w:rsidR="00B65464" w:rsidRPr="001E1A09" w:rsidRDefault="00B65464" w:rsidP="00403CF3">
            <w:pPr>
              <w:pStyle w:val="Quadros"/>
            </w:pPr>
            <w:r w:rsidRPr="001E1A09">
              <w:t>347</w:t>
            </w:r>
          </w:p>
        </w:tc>
        <w:tc>
          <w:tcPr>
            <w:tcW w:w="708" w:type="dxa"/>
            <w:vAlign w:val="center"/>
          </w:tcPr>
          <w:p w:rsidR="00B65464" w:rsidRPr="001E1A09" w:rsidRDefault="00B65464" w:rsidP="00403CF3">
            <w:pPr>
              <w:pStyle w:val="Quadros"/>
            </w:pPr>
            <w:r w:rsidRPr="001E1A09">
              <w:t>362</w:t>
            </w:r>
          </w:p>
        </w:tc>
        <w:tc>
          <w:tcPr>
            <w:tcW w:w="709" w:type="dxa"/>
            <w:vAlign w:val="center"/>
          </w:tcPr>
          <w:p w:rsidR="00B65464" w:rsidRPr="001E1A09" w:rsidRDefault="00B65464" w:rsidP="00403CF3">
            <w:pPr>
              <w:pStyle w:val="Quadros"/>
            </w:pPr>
            <w:r w:rsidRPr="001E1A09">
              <w:t>373</w:t>
            </w:r>
          </w:p>
        </w:tc>
        <w:tc>
          <w:tcPr>
            <w:tcW w:w="709" w:type="dxa"/>
            <w:vAlign w:val="center"/>
          </w:tcPr>
          <w:p w:rsidR="00B65464" w:rsidRPr="001E1A09" w:rsidRDefault="00B65464" w:rsidP="00403CF3">
            <w:pPr>
              <w:pStyle w:val="Quadros"/>
            </w:pPr>
            <w:r w:rsidRPr="001E1A09">
              <w:t>456</w:t>
            </w:r>
          </w:p>
        </w:tc>
        <w:tc>
          <w:tcPr>
            <w:tcW w:w="709" w:type="dxa"/>
            <w:vAlign w:val="center"/>
          </w:tcPr>
          <w:p w:rsidR="00B65464" w:rsidRPr="001E1A09" w:rsidRDefault="00B65464" w:rsidP="00403CF3">
            <w:pPr>
              <w:pStyle w:val="Quadros"/>
            </w:pPr>
            <w:r w:rsidRPr="001E1A09">
              <w:t>457</w:t>
            </w:r>
          </w:p>
        </w:tc>
        <w:tc>
          <w:tcPr>
            <w:tcW w:w="708" w:type="dxa"/>
            <w:vAlign w:val="center"/>
          </w:tcPr>
          <w:p w:rsidR="00B65464" w:rsidRPr="001E1A09" w:rsidRDefault="00B65464" w:rsidP="00403CF3">
            <w:pPr>
              <w:pStyle w:val="Quadros"/>
            </w:pPr>
            <w:r w:rsidRPr="001E1A09">
              <w:t>523</w:t>
            </w:r>
          </w:p>
        </w:tc>
        <w:tc>
          <w:tcPr>
            <w:tcW w:w="709" w:type="dxa"/>
            <w:vAlign w:val="center"/>
          </w:tcPr>
          <w:p w:rsidR="00B65464" w:rsidRPr="001E1A09" w:rsidRDefault="00B65464" w:rsidP="00403CF3">
            <w:pPr>
              <w:pStyle w:val="Quadros"/>
            </w:pPr>
            <w:r w:rsidRPr="001E1A09">
              <w:t>555</w:t>
            </w:r>
          </w:p>
        </w:tc>
        <w:tc>
          <w:tcPr>
            <w:tcW w:w="709" w:type="dxa"/>
            <w:vAlign w:val="center"/>
          </w:tcPr>
          <w:p w:rsidR="00B65464" w:rsidRPr="001E1A09" w:rsidRDefault="00B65464" w:rsidP="00403CF3">
            <w:pPr>
              <w:pStyle w:val="Quadros"/>
            </w:pPr>
            <w:r w:rsidRPr="001E1A09">
              <w:t>514</w:t>
            </w:r>
          </w:p>
        </w:tc>
        <w:tc>
          <w:tcPr>
            <w:tcW w:w="709" w:type="dxa"/>
            <w:vAlign w:val="center"/>
          </w:tcPr>
          <w:p w:rsidR="00B65464" w:rsidRPr="001E1A09" w:rsidRDefault="00B65464" w:rsidP="00403CF3">
            <w:pPr>
              <w:pStyle w:val="Quadros"/>
            </w:pPr>
            <w:r w:rsidRPr="001E1A09">
              <w:t>467</w:t>
            </w:r>
          </w:p>
        </w:tc>
        <w:tc>
          <w:tcPr>
            <w:tcW w:w="708" w:type="dxa"/>
            <w:vAlign w:val="center"/>
          </w:tcPr>
          <w:p w:rsidR="00B65464" w:rsidRPr="001E1A09" w:rsidRDefault="00B65464" w:rsidP="00403CF3">
            <w:pPr>
              <w:pStyle w:val="Quadros"/>
            </w:pPr>
            <w:r w:rsidRPr="001E1A09">
              <w:t>479</w:t>
            </w:r>
          </w:p>
        </w:tc>
        <w:tc>
          <w:tcPr>
            <w:tcW w:w="709" w:type="dxa"/>
            <w:vAlign w:val="center"/>
          </w:tcPr>
          <w:p w:rsidR="00B65464" w:rsidRPr="001E1A09" w:rsidRDefault="00B65464" w:rsidP="00403CF3">
            <w:pPr>
              <w:pStyle w:val="Quadros"/>
            </w:pPr>
            <w:r w:rsidRPr="001E1A09">
              <w:t>487</w:t>
            </w:r>
          </w:p>
        </w:tc>
      </w:tr>
      <w:tr w:rsidR="00B65464" w:rsidRPr="001E1A09" w:rsidTr="00403CF3">
        <w:tc>
          <w:tcPr>
            <w:tcW w:w="1985" w:type="dxa"/>
            <w:vAlign w:val="center"/>
          </w:tcPr>
          <w:p w:rsidR="00B65464" w:rsidRPr="001E1A09" w:rsidRDefault="00B65464" w:rsidP="00403CF3">
            <w:pPr>
              <w:pStyle w:val="Quadros"/>
              <w:jc w:val="left"/>
            </w:pPr>
            <w:r w:rsidRPr="001E1A09">
              <w:t>Agricultura</w:t>
            </w:r>
          </w:p>
        </w:tc>
        <w:tc>
          <w:tcPr>
            <w:tcW w:w="709" w:type="dxa"/>
            <w:vAlign w:val="center"/>
          </w:tcPr>
          <w:p w:rsidR="00B65464" w:rsidRPr="001E1A09" w:rsidRDefault="00B65464" w:rsidP="00403CF3">
            <w:pPr>
              <w:pStyle w:val="Quadros"/>
            </w:pPr>
            <w:r w:rsidRPr="001E1A09">
              <w:t>104</w:t>
            </w:r>
          </w:p>
        </w:tc>
        <w:tc>
          <w:tcPr>
            <w:tcW w:w="708" w:type="dxa"/>
            <w:vAlign w:val="center"/>
          </w:tcPr>
          <w:p w:rsidR="00B65464" w:rsidRPr="001E1A09" w:rsidRDefault="00B65464" w:rsidP="00403CF3">
            <w:pPr>
              <w:pStyle w:val="Quadros"/>
            </w:pPr>
            <w:r w:rsidRPr="001E1A09">
              <w:t>47</w:t>
            </w:r>
          </w:p>
        </w:tc>
        <w:tc>
          <w:tcPr>
            <w:tcW w:w="709" w:type="dxa"/>
            <w:vAlign w:val="center"/>
          </w:tcPr>
          <w:p w:rsidR="00B65464" w:rsidRPr="001E1A09" w:rsidRDefault="00B65464" w:rsidP="00403CF3">
            <w:pPr>
              <w:pStyle w:val="Quadros"/>
            </w:pPr>
            <w:r w:rsidRPr="001E1A09">
              <w:t>48</w:t>
            </w:r>
          </w:p>
        </w:tc>
        <w:tc>
          <w:tcPr>
            <w:tcW w:w="709" w:type="dxa"/>
            <w:vAlign w:val="center"/>
          </w:tcPr>
          <w:p w:rsidR="00B65464" w:rsidRPr="001E1A09" w:rsidRDefault="00B65464" w:rsidP="00403CF3">
            <w:pPr>
              <w:pStyle w:val="Quadros"/>
            </w:pPr>
            <w:r w:rsidRPr="001E1A09">
              <w:t>40</w:t>
            </w:r>
          </w:p>
        </w:tc>
        <w:tc>
          <w:tcPr>
            <w:tcW w:w="709" w:type="dxa"/>
            <w:vAlign w:val="center"/>
          </w:tcPr>
          <w:p w:rsidR="00B65464" w:rsidRPr="001E1A09" w:rsidRDefault="00B65464" w:rsidP="00403CF3">
            <w:pPr>
              <w:pStyle w:val="Quadros"/>
            </w:pPr>
            <w:r w:rsidRPr="001E1A09">
              <w:t>76</w:t>
            </w:r>
          </w:p>
        </w:tc>
        <w:tc>
          <w:tcPr>
            <w:tcW w:w="708" w:type="dxa"/>
            <w:vAlign w:val="center"/>
          </w:tcPr>
          <w:p w:rsidR="00B65464" w:rsidRPr="001E1A09" w:rsidRDefault="00B65464" w:rsidP="00403CF3">
            <w:pPr>
              <w:pStyle w:val="Quadros"/>
            </w:pPr>
            <w:r w:rsidRPr="001E1A09">
              <w:t>60</w:t>
            </w:r>
          </w:p>
        </w:tc>
        <w:tc>
          <w:tcPr>
            <w:tcW w:w="709" w:type="dxa"/>
            <w:vAlign w:val="center"/>
          </w:tcPr>
          <w:p w:rsidR="00B65464" w:rsidRPr="001E1A09" w:rsidRDefault="00B65464" w:rsidP="00403CF3">
            <w:pPr>
              <w:pStyle w:val="Quadros"/>
            </w:pPr>
            <w:r w:rsidRPr="001E1A09">
              <w:t>53</w:t>
            </w:r>
          </w:p>
        </w:tc>
        <w:tc>
          <w:tcPr>
            <w:tcW w:w="709" w:type="dxa"/>
            <w:vAlign w:val="center"/>
          </w:tcPr>
          <w:p w:rsidR="00B65464" w:rsidRPr="001E1A09" w:rsidRDefault="00B65464" w:rsidP="00403CF3">
            <w:pPr>
              <w:pStyle w:val="Quadros"/>
            </w:pPr>
            <w:r w:rsidRPr="001E1A09">
              <w:t>47</w:t>
            </w:r>
          </w:p>
        </w:tc>
        <w:tc>
          <w:tcPr>
            <w:tcW w:w="709" w:type="dxa"/>
            <w:vAlign w:val="center"/>
          </w:tcPr>
          <w:p w:rsidR="00B65464" w:rsidRPr="001E1A09" w:rsidRDefault="00B65464" w:rsidP="00403CF3">
            <w:pPr>
              <w:pStyle w:val="Quadros"/>
            </w:pPr>
            <w:r w:rsidRPr="001E1A09">
              <w:t>21</w:t>
            </w:r>
          </w:p>
        </w:tc>
        <w:tc>
          <w:tcPr>
            <w:tcW w:w="708" w:type="dxa"/>
            <w:vAlign w:val="center"/>
          </w:tcPr>
          <w:p w:rsidR="00B65464" w:rsidRPr="001E1A09" w:rsidRDefault="00B65464" w:rsidP="00403CF3">
            <w:pPr>
              <w:pStyle w:val="Quadros"/>
            </w:pPr>
            <w:r w:rsidRPr="001E1A09">
              <w:t>18</w:t>
            </w:r>
          </w:p>
        </w:tc>
        <w:tc>
          <w:tcPr>
            <w:tcW w:w="709" w:type="dxa"/>
            <w:vAlign w:val="center"/>
          </w:tcPr>
          <w:p w:rsidR="00B65464" w:rsidRPr="001E1A09" w:rsidRDefault="00B65464" w:rsidP="00403CF3">
            <w:pPr>
              <w:pStyle w:val="Quadros"/>
            </w:pPr>
            <w:r w:rsidRPr="001E1A09">
              <w:t>35</w:t>
            </w:r>
          </w:p>
        </w:tc>
      </w:tr>
      <w:tr w:rsidR="00B65464" w:rsidRPr="001E1A09" w:rsidTr="00403CF3">
        <w:tc>
          <w:tcPr>
            <w:tcW w:w="1985" w:type="dxa"/>
            <w:vAlign w:val="center"/>
          </w:tcPr>
          <w:p w:rsidR="00B65464" w:rsidRPr="001E1A09" w:rsidRDefault="00B65464" w:rsidP="00403CF3">
            <w:pPr>
              <w:pStyle w:val="Quadros"/>
              <w:jc w:val="left"/>
            </w:pPr>
            <w:r w:rsidRPr="001E1A09">
              <w:t>Saúde e Proteção Social</w:t>
            </w:r>
          </w:p>
        </w:tc>
        <w:tc>
          <w:tcPr>
            <w:tcW w:w="709" w:type="dxa"/>
            <w:vAlign w:val="center"/>
          </w:tcPr>
          <w:p w:rsidR="00B65464" w:rsidRPr="001E1A09" w:rsidRDefault="00B65464" w:rsidP="00403CF3">
            <w:pPr>
              <w:pStyle w:val="Quadros"/>
            </w:pPr>
            <w:r w:rsidRPr="001E1A09">
              <w:t>148</w:t>
            </w:r>
          </w:p>
        </w:tc>
        <w:tc>
          <w:tcPr>
            <w:tcW w:w="708" w:type="dxa"/>
            <w:vAlign w:val="center"/>
          </w:tcPr>
          <w:p w:rsidR="00B65464" w:rsidRPr="001E1A09" w:rsidRDefault="00B65464" w:rsidP="00403CF3">
            <w:pPr>
              <w:pStyle w:val="Quadros"/>
            </w:pPr>
            <w:r w:rsidRPr="001E1A09">
              <w:t>174</w:t>
            </w:r>
          </w:p>
        </w:tc>
        <w:tc>
          <w:tcPr>
            <w:tcW w:w="709" w:type="dxa"/>
            <w:vAlign w:val="center"/>
          </w:tcPr>
          <w:p w:rsidR="00B65464" w:rsidRPr="001E1A09" w:rsidRDefault="00B65464" w:rsidP="00403CF3">
            <w:pPr>
              <w:pStyle w:val="Quadros"/>
            </w:pPr>
            <w:r w:rsidRPr="001E1A09">
              <w:t>185</w:t>
            </w:r>
          </w:p>
        </w:tc>
        <w:tc>
          <w:tcPr>
            <w:tcW w:w="709" w:type="dxa"/>
            <w:vAlign w:val="center"/>
          </w:tcPr>
          <w:p w:rsidR="00B65464" w:rsidRPr="001E1A09" w:rsidRDefault="00B65464" w:rsidP="00403CF3">
            <w:pPr>
              <w:pStyle w:val="Quadros"/>
            </w:pPr>
            <w:r w:rsidRPr="001E1A09">
              <w:t>216</w:t>
            </w:r>
          </w:p>
        </w:tc>
        <w:tc>
          <w:tcPr>
            <w:tcW w:w="709" w:type="dxa"/>
            <w:vAlign w:val="center"/>
          </w:tcPr>
          <w:p w:rsidR="00B65464" w:rsidRPr="001E1A09" w:rsidRDefault="00B65464" w:rsidP="00403CF3">
            <w:pPr>
              <w:pStyle w:val="Quadros"/>
            </w:pPr>
            <w:r w:rsidRPr="001E1A09">
              <w:t>279</w:t>
            </w:r>
          </w:p>
        </w:tc>
        <w:tc>
          <w:tcPr>
            <w:tcW w:w="708" w:type="dxa"/>
            <w:vAlign w:val="center"/>
          </w:tcPr>
          <w:p w:rsidR="00B65464" w:rsidRPr="001E1A09" w:rsidRDefault="00B65464" w:rsidP="00403CF3">
            <w:pPr>
              <w:pStyle w:val="Quadros"/>
            </w:pPr>
            <w:r w:rsidRPr="001E1A09">
              <w:t>271</w:t>
            </w:r>
          </w:p>
        </w:tc>
        <w:tc>
          <w:tcPr>
            <w:tcW w:w="709" w:type="dxa"/>
            <w:vAlign w:val="center"/>
          </w:tcPr>
          <w:p w:rsidR="00B65464" w:rsidRPr="001E1A09" w:rsidRDefault="00B65464" w:rsidP="00403CF3">
            <w:pPr>
              <w:pStyle w:val="Quadros"/>
            </w:pPr>
            <w:r w:rsidRPr="001E1A09">
              <w:t>245</w:t>
            </w:r>
          </w:p>
        </w:tc>
        <w:tc>
          <w:tcPr>
            <w:tcW w:w="709" w:type="dxa"/>
            <w:vAlign w:val="center"/>
          </w:tcPr>
          <w:p w:rsidR="00B65464" w:rsidRPr="001E1A09" w:rsidRDefault="00B65464" w:rsidP="00403CF3">
            <w:pPr>
              <w:pStyle w:val="Quadros"/>
            </w:pPr>
            <w:r w:rsidRPr="001E1A09">
              <w:t>308</w:t>
            </w:r>
          </w:p>
        </w:tc>
        <w:tc>
          <w:tcPr>
            <w:tcW w:w="709" w:type="dxa"/>
            <w:vAlign w:val="center"/>
          </w:tcPr>
          <w:p w:rsidR="00B65464" w:rsidRPr="001E1A09" w:rsidRDefault="00B65464" w:rsidP="00403CF3">
            <w:pPr>
              <w:pStyle w:val="Quadros"/>
            </w:pPr>
            <w:r w:rsidRPr="001E1A09">
              <w:t>289</w:t>
            </w:r>
          </w:p>
        </w:tc>
        <w:tc>
          <w:tcPr>
            <w:tcW w:w="708" w:type="dxa"/>
            <w:vAlign w:val="center"/>
          </w:tcPr>
          <w:p w:rsidR="00B65464" w:rsidRPr="001E1A09" w:rsidRDefault="00B65464" w:rsidP="00403CF3">
            <w:pPr>
              <w:pStyle w:val="Quadros"/>
            </w:pPr>
            <w:r w:rsidRPr="001E1A09">
              <w:t>293</w:t>
            </w:r>
          </w:p>
        </w:tc>
        <w:tc>
          <w:tcPr>
            <w:tcW w:w="709" w:type="dxa"/>
            <w:vAlign w:val="center"/>
          </w:tcPr>
          <w:p w:rsidR="00B65464" w:rsidRPr="001E1A09" w:rsidRDefault="00B65464" w:rsidP="00403CF3">
            <w:pPr>
              <w:pStyle w:val="Quadros"/>
            </w:pPr>
            <w:r w:rsidRPr="001E1A09">
              <w:t>200</w:t>
            </w:r>
          </w:p>
        </w:tc>
      </w:tr>
      <w:tr w:rsidR="00B65464" w:rsidRPr="001E1A09" w:rsidTr="00403CF3">
        <w:trPr>
          <w:trHeight w:val="70"/>
        </w:trPr>
        <w:tc>
          <w:tcPr>
            <w:tcW w:w="1985" w:type="dxa"/>
            <w:vAlign w:val="center"/>
          </w:tcPr>
          <w:p w:rsidR="00B65464" w:rsidRPr="001E1A09" w:rsidRDefault="00B65464" w:rsidP="00403CF3">
            <w:pPr>
              <w:pStyle w:val="Quadros"/>
              <w:jc w:val="left"/>
            </w:pPr>
            <w:r w:rsidRPr="001E1A09">
              <w:t>Serviços</w:t>
            </w:r>
          </w:p>
        </w:tc>
        <w:tc>
          <w:tcPr>
            <w:tcW w:w="709" w:type="dxa"/>
            <w:vAlign w:val="center"/>
          </w:tcPr>
          <w:p w:rsidR="00B65464" w:rsidRPr="001E1A09" w:rsidRDefault="00B65464" w:rsidP="00403CF3">
            <w:pPr>
              <w:pStyle w:val="Quadros"/>
            </w:pPr>
            <w:r w:rsidRPr="001E1A09">
              <w:t>144</w:t>
            </w:r>
          </w:p>
        </w:tc>
        <w:tc>
          <w:tcPr>
            <w:tcW w:w="708" w:type="dxa"/>
            <w:vAlign w:val="center"/>
          </w:tcPr>
          <w:p w:rsidR="00B65464" w:rsidRPr="001E1A09" w:rsidRDefault="00B65464" w:rsidP="00403CF3">
            <w:pPr>
              <w:pStyle w:val="Quadros"/>
            </w:pPr>
            <w:r w:rsidRPr="001E1A09">
              <w:t>149</w:t>
            </w:r>
          </w:p>
        </w:tc>
        <w:tc>
          <w:tcPr>
            <w:tcW w:w="709" w:type="dxa"/>
            <w:vAlign w:val="center"/>
          </w:tcPr>
          <w:p w:rsidR="00B65464" w:rsidRPr="001E1A09" w:rsidRDefault="00B65464" w:rsidP="00403CF3">
            <w:pPr>
              <w:pStyle w:val="Quadros"/>
            </w:pPr>
            <w:r w:rsidRPr="001E1A09">
              <w:t>140</w:t>
            </w:r>
          </w:p>
        </w:tc>
        <w:tc>
          <w:tcPr>
            <w:tcW w:w="709" w:type="dxa"/>
            <w:vAlign w:val="center"/>
          </w:tcPr>
          <w:p w:rsidR="00B65464" w:rsidRPr="001E1A09" w:rsidRDefault="00B65464" w:rsidP="00403CF3">
            <w:pPr>
              <w:pStyle w:val="Quadros"/>
            </w:pPr>
            <w:r w:rsidRPr="001E1A09">
              <w:t>148</w:t>
            </w:r>
          </w:p>
        </w:tc>
        <w:tc>
          <w:tcPr>
            <w:tcW w:w="709" w:type="dxa"/>
            <w:vAlign w:val="center"/>
          </w:tcPr>
          <w:p w:rsidR="00B65464" w:rsidRPr="001E1A09" w:rsidRDefault="00B65464" w:rsidP="00403CF3">
            <w:pPr>
              <w:pStyle w:val="Quadros"/>
            </w:pPr>
            <w:r w:rsidRPr="001E1A09">
              <w:t>170</w:t>
            </w:r>
          </w:p>
        </w:tc>
        <w:tc>
          <w:tcPr>
            <w:tcW w:w="708" w:type="dxa"/>
            <w:vAlign w:val="center"/>
          </w:tcPr>
          <w:p w:rsidR="00B65464" w:rsidRPr="001E1A09" w:rsidRDefault="00B65464" w:rsidP="00403CF3">
            <w:pPr>
              <w:pStyle w:val="Quadros"/>
            </w:pPr>
            <w:r w:rsidRPr="001E1A09">
              <w:t>176</w:t>
            </w:r>
          </w:p>
        </w:tc>
        <w:tc>
          <w:tcPr>
            <w:tcW w:w="709" w:type="dxa"/>
            <w:vAlign w:val="center"/>
          </w:tcPr>
          <w:p w:rsidR="00B65464" w:rsidRPr="001E1A09" w:rsidRDefault="00B65464" w:rsidP="00403CF3">
            <w:pPr>
              <w:pStyle w:val="Quadros"/>
            </w:pPr>
            <w:r w:rsidRPr="001E1A09">
              <w:t>130</w:t>
            </w:r>
          </w:p>
        </w:tc>
        <w:tc>
          <w:tcPr>
            <w:tcW w:w="709" w:type="dxa"/>
            <w:vAlign w:val="center"/>
          </w:tcPr>
          <w:p w:rsidR="00B65464" w:rsidRPr="001E1A09" w:rsidRDefault="00B65464" w:rsidP="00403CF3">
            <w:pPr>
              <w:pStyle w:val="Quadros"/>
            </w:pPr>
            <w:r w:rsidRPr="001E1A09">
              <w:t>111</w:t>
            </w:r>
          </w:p>
        </w:tc>
        <w:tc>
          <w:tcPr>
            <w:tcW w:w="709" w:type="dxa"/>
            <w:vAlign w:val="center"/>
          </w:tcPr>
          <w:p w:rsidR="00B65464" w:rsidRPr="001E1A09" w:rsidRDefault="00B65464" w:rsidP="00403CF3">
            <w:pPr>
              <w:pStyle w:val="Quadros"/>
            </w:pPr>
            <w:r w:rsidRPr="001E1A09">
              <w:t>89</w:t>
            </w:r>
          </w:p>
        </w:tc>
        <w:tc>
          <w:tcPr>
            <w:tcW w:w="708" w:type="dxa"/>
            <w:vAlign w:val="center"/>
          </w:tcPr>
          <w:p w:rsidR="00B65464" w:rsidRPr="001E1A09" w:rsidRDefault="00B65464" w:rsidP="00403CF3">
            <w:pPr>
              <w:pStyle w:val="Quadros"/>
            </w:pPr>
            <w:r w:rsidRPr="001E1A09">
              <w:t>99</w:t>
            </w:r>
          </w:p>
        </w:tc>
        <w:tc>
          <w:tcPr>
            <w:tcW w:w="709" w:type="dxa"/>
            <w:vAlign w:val="center"/>
          </w:tcPr>
          <w:p w:rsidR="00B65464" w:rsidRPr="001E1A09" w:rsidRDefault="00B65464" w:rsidP="00403CF3">
            <w:pPr>
              <w:pStyle w:val="Quadros"/>
            </w:pPr>
            <w:r w:rsidRPr="001E1A09">
              <w:t>135</w:t>
            </w:r>
          </w:p>
        </w:tc>
      </w:tr>
      <w:tr w:rsidR="00B65464" w:rsidRPr="001E1A09" w:rsidTr="00403CF3">
        <w:tc>
          <w:tcPr>
            <w:tcW w:w="1985" w:type="dxa"/>
            <w:vAlign w:val="center"/>
          </w:tcPr>
          <w:p w:rsidR="00B65464" w:rsidRPr="001E1A09" w:rsidRDefault="00B65464" w:rsidP="00403CF3">
            <w:pPr>
              <w:pStyle w:val="Quadros"/>
              <w:jc w:val="left"/>
            </w:pPr>
            <w:r w:rsidRPr="001E1A09">
              <w:t>Total</w:t>
            </w:r>
          </w:p>
        </w:tc>
        <w:tc>
          <w:tcPr>
            <w:tcW w:w="709" w:type="dxa"/>
            <w:vAlign w:val="center"/>
          </w:tcPr>
          <w:p w:rsidR="00B65464" w:rsidRPr="001E1A09" w:rsidRDefault="00B65464" w:rsidP="00403CF3">
            <w:pPr>
              <w:pStyle w:val="Quadros"/>
            </w:pPr>
            <w:r w:rsidRPr="001E1A09">
              <w:t>2028</w:t>
            </w:r>
          </w:p>
        </w:tc>
        <w:tc>
          <w:tcPr>
            <w:tcW w:w="708" w:type="dxa"/>
            <w:vAlign w:val="center"/>
          </w:tcPr>
          <w:p w:rsidR="00B65464" w:rsidRPr="001E1A09" w:rsidRDefault="00B65464" w:rsidP="00403CF3">
            <w:pPr>
              <w:pStyle w:val="Quadros"/>
            </w:pPr>
            <w:r w:rsidRPr="001E1A09">
              <w:t>2111</w:t>
            </w:r>
          </w:p>
        </w:tc>
        <w:tc>
          <w:tcPr>
            <w:tcW w:w="709" w:type="dxa"/>
            <w:vAlign w:val="center"/>
          </w:tcPr>
          <w:p w:rsidR="00B65464" w:rsidRPr="001E1A09" w:rsidRDefault="00B65464" w:rsidP="00403CF3">
            <w:pPr>
              <w:pStyle w:val="Quadros"/>
            </w:pPr>
            <w:r w:rsidRPr="001E1A09">
              <w:t>2258</w:t>
            </w:r>
          </w:p>
        </w:tc>
        <w:tc>
          <w:tcPr>
            <w:tcW w:w="709" w:type="dxa"/>
            <w:vAlign w:val="center"/>
          </w:tcPr>
          <w:p w:rsidR="00B65464" w:rsidRPr="001E1A09" w:rsidRDefault="00B65464" w:rsidP="00403CF3">
            <w:pPr>
              <w:pStyle w:val="Quadros"/>
            </w:pPr>
            <w:r w:rsidRPr="001E1A09">
              <w:t>2711</w:t>
            </w:r>
          </w:p>
        </w:tc>
        <w:tc>
          <w:tcPr>
            <w:tcW w:w="709" w:type="dxa"/>
            <w:vAlign w:val="center"/>
          </w:tcPr>
          <w:p w:rsidR="00B65464" w:rsidRPr="001E1A09" w:rsidRDefault="00B65464" w:rsidP="00403CF3">
            <w:pPr>
              <w:pStyle w:val="Quadros"/>
            </w:pPr>
            <w:r w:rsidRPr="001E1A09">
              <w:t>3183</w:t>
            </w:r>
          </w:p>
        </w:tc>
        <w:tc>
          <w:tcPr>
            <w:tcW w:w="708" w:type="dxa"/>
            <w:vAlign w:val="center"/>
          </w:tcPr>
          <w:p w:rsidR="00B65464" w:rsidRPr="001E1A09" w:rsidRDefault="00B65464" w:rsidP="00403CF3">
            <w:pPr>
              <w:pStyle w:val="Quadros"/>
            </w:pPr>
            <w:r w:rsidRPr="001E1A09">
              <w:t>3367</w:t>
            </w:r>
          </w:p>
        </w:tc>
        <w:tc>
          <w:tcPr>
            <w:tcW w:w="709" w:type="dxa"/>
            <w:vAlign w:val="center"/>
          </w:tcPr>
          <w:p w:rsidR="00B65464" w:rsidRPr="001E1A09" w:rsidRDefault="00B65464" w:rsidP="00403CF3">
            <w:pPr>
              <w:pStyle w:val="Quadros"/>
            </w:pPr>
            <w:r w:rsidRPr="001E1A09">
              <w:t>3527</w:t>
            </w:r>
          </w:p>
        </w:tc>
        <w:tc>
          <w:tcPr>
            <w:tcW w:w="709" w:type="dxa"/>
            <w:vAlign w:val="center"/>
          </w:tcPr>
          <w:p w:rsidR="00B65464" w:rsidRPr="001E1A09" w:rsidRDefault="00B65464" w:rsidP="00403CF3">
            <w:pPr>
              <w:pStyle w:val="Quadros"/>
            </w:pPr>
            <w:r w:rsidRPr="001E1A09">
              <w:t>4258</w:t>
            </w:r>
          </w:p>
        </w:tc>
        <w:tc>
          <w:tcPr>
            <w:tcW w:w="709" w:type="dxa"/>
            <w:vAlign w:val="center"/>
          </w:tcPr>
          <w:p w:rsidR="00B65464" w:rsidRPr="001E1A09" w:rsidRDefault="00B65464" w:rsidP="00403CF3">
            <w:pPr>
              <w:pStyle w:val="Quadros"/>
            </w:pPr>
            <w:r w:rsidRPr="001E1A09">
              <w:t>4116</w:t>
            </w:r>
          </w:p>
        </w:tc>
        <w:tc>
          <w:tcPr>
            <w:tcW w:w="708" w:type="dxa"/>
            <w:vAlign w:val="center"/>
          </w:tcPr>
          <w:p w:rsidR="00B65464" w:rsidRPr="001E1A09" w:rsidRDefault="00B65464" w:rsidP="00403CF3">
            <w:pPr>
              <w:pStyle w:val="Quadros"/>
            </w:pPr>
            <w:r w:rsidRPr="001E1A09">
              <w:t>4794</w:t>
            </w:r>
          </w:p>
        </w:tc>
        <w:tc>
          <w:tcPr>
            <w:tcW w:w="709" w:type="dxa"/>
            <w:vAlign w:val="center"/>
          </w:tcPr>
          <w:p w:rsidR="00B65464" w:rsidRPr="001E1A09" w:rsidRDefault="00B65464" w:rsidP="00403CF3">
            <w:pPr>
              <w:pStyle w:val="Quadros"/>
            </w:pPr>
            <w:r w:rsidRPr="001E1A09">
              <w:t>4648</w:t>
            </w:r>
          </w:p>
        </w:tc>
      </w:tr>
    </w:tbl>
    <w:p w:rsidR="00B65464" w:rsidRPr="00D22FD8" w:rsidRDefault="00B65464" w:rsidP="00B65464">
      <w:pPr>
        <w:pStyle w:val="Quadros"/>
      </w:pPr>
      <w:r w:rsidRPr="006E2E92">
        <w:t>Fonte</w:t>
      </w:r>
      <w:r w:rsidRPr="00D22FD8">
        <w:t>: “Relatório Ciência, Tecnologia e Ensino Superior: Cooperação Entre Portugal e a CPLP” Disponível no endereço</w:t>
      </w:r>
      <w:r w:rsidRPr="00362BD9">
        <w:t xml:space="preserve"> </w:t>
      </w:r>
      <w:r w:rsidRPr="00362BD9">
        <w:rPr>
          <w:u w:val="single"/>
        </w:rPr>
        <w:t>http://</w:t>
      </w:r>
      <w:hyperlink r:id="rId12" w:history="1">
        <w:r w:rsidRPr="00362BD9">
          <w:rPr>
            <w:rStyle w:val="Hiperligao"/>
          </w:rPr>
          <w:t>www.gpeari.mctes.pt</w:t>
        </w:r>
      </w:hyperlink>
      <w:r>
        <w:t xml:space="preserve"> </w:t>
      </w:r>
      <w:r w:rsidRPr="00D22FD8">
        <w:t>(acedido a 10/02/2011)</w:t>
      </w:r>
      <w:r>
        <w:t>.</w:t>
      </w:r>
    </w:p>
    <w:p w:rsidR="00B65464" w:rsidRPr="00D22FD8" w:rsidRDefault="00B65464" w:rsidP="00403CF3">
      <w:pPr>
        <w:spacing w:after="0" w:line="240" w:lineRule="auto"/>
        <w:ind w:firstLine="540"/>
        <w:jc w:val="both"/>
        <w:rPr>
          <w:rFonts w:ascii="Times New Roman" w:hAnsi="Times New Roman"/>
          <w:sz w:val="20"/>
          <w:szCs w:val="20"/>
        </w:rPr>
      </w:pPr>
    </w:p>
    <w:p w:rsidR="00B65464" w:rsidRPr="001A5ED5" w:rsidRDefault="00B65464" w:rsidP="00E21D72">
      <w:pPr>
        <w:spacing w:after="0" w:line="360" w:lineRule="auto"/>
        <w:ind w:firstLine="900"/>
        <w:jc w:val="both"/>
        <w:rPr>
          <w:rFonts w:ascii="Times New Roman" w:hAnsi="Times New Roman"/>
          <w:sz w:val="24"/>
          <w:szCs w:val="24"/>
        </w:rPr>
      </w:pPr>
      <w:r w:rsidRPr="001A5ED5">
        <w:rPr>
          <w:rFonts w:ascii="Times New Roman" w:hAnsi="Times New Roman"/>
          <w:sz w:val="24"/>
          <w:szCs w:val="24"/>
        </w:rPr>
        <w:t>O número de estudantes angolanos em instituições de ensino superior portuguesas conheceu assim um crescimento significativo com um aumento na ordem dos 43 por cento entre 1997/98, (2028 alunos</w:t>
      </w:r>
      <w:r>
        <w:rPr>
          <w:rFonts w:ascii="Times New Roman" w:hAnsi="Times New Roman"/>
          <w:sz w:val="24"/>
          <w:szCs w:val="24"/>
        </w:rPr>
        <w:t>) e 2007/08</w:t>
      </w:r>
      <w:r w:rsidRPr="001A5ED5">
        <w:rPr>
          <w:rFonts w:ascii="Times New Roman" w:hAnsi="Times New Roman"/>
          <w:sz w:val="24"/>
          <w:szCs w:val="24"/>
        </w:rPr>
        <w:t xml:space="preserve"> (4648 alunos).</w:t>
      </w:r>
    </w:p>
    <w:p w:rsidR="00403CF3" w:rsidRPr="00E94733" w:rsidRDefault="00B65464" w:rsidP="00E21D72">
      <w:pPr>
        <w:tabs>
          <w:tab w:val="left" w:pos="6439"/>
        </w:tabs>
        <w:spacing w:after="0" w:line="360" w:lineRule="auto"/>
        <w:ind w:firstLine="900"/>
        <w:jc w:val="both"/>
        <w:rPr>
          <w:rFonts w:ascii="Times New Roman" w:hAnsi="Times New Roman"/>
          <w:sz w:val="24"/>
          <w:szCs w:val="24"/>
        </w:rPr>
      </w:pPr>
      <w:r w:rsidRPr="00D22FD8">
        <w:rPr>
          <w:rFonts w:ascii="Times New Roman" w:hAnsi="Times New Roman"/>
          <w:sz w:val="24"/>
          <w:szCs w:val="24"/>
        </w:rPr>
        <w:t>Destacam-se a</w:t>
      </w:r>
      <w:r>
        <w:rPr>
          <w:rFonts w:ascii="Times New Roman" w:hAnsi="Times New Roman"/>
          <w:sz w:val="24"/>
          <w:szCs w:val="24"/>
        </w:rPr>
        <w:t>s</w:t>
      </w:r>
      <w:r w:rsidRPr="00D22FD8">
        <w:rPr>
          <w:rFonts w:ascii="Times New Roman" w:hAnsi="Times New Roman"/>
          <w:sz w:val="24"/>
          <w:szCs w:val="24"/>
        </w:rPr>
        <w:t xml:space="preserve"> área</w:t>
      </w:r>
      <w:r>
        <w:rPr>
          <w:rFonts w:ascii="Times New Roman" w:hAnsi="Times New Roman"/>
          <w:sz w:val="24"/>
          <w:szCs w:val="24"/>
        </w:rPr>
        <w:t>s</w:t>
      </w:r>
      <w:r w:rsidRPr="00D22FD8">
        <w:rPr>
          <w:rFonts w:ascii="Times New Roman" w:hAnsi="Times New Roman"/>
          <w:sz w:val="24"/>
          <w:szCs w:val="24"/>
        </w:rPr>
        <w:t xml:space="preserve"> das Ciências Sociais, Comércio e Direito com 3</w:t>
      </w:r>
      <w:r>
        <w:rPr>
          <w:rFonts w:ascii="Times New Roman" w:hAnsi="Times New Roman"/>
          <w:sz w:val="24"/>
          <w:szCs w:val="24"/>
        </w:rPr>
        <w:t>.</w:t>
      </w:r>
      <w:r w:rsidRPr="00D22FD8">
        <w:rPr>
          <w:rFonts w:ascii="Times New Roman" w:hAnsi="Times New Roman"/>
          <w:sz w:val="24"/>
          <w:szCs w:val="24"/>
        </w:rPr>
        <w:t xml:space="preserve">113 alunos </w:t>
      </w:r>
      <w:r>
        <w:rPr>
          <w:rFonts w:ascii="Times New Roman" w:hAnsi="Times New Roman"/>
          <w:sz w:val="24"/>
          <w:szCs w:val="24"/>
        </w:rPr>
        <w:t xml:space="preserve">inscritos </w:t>
      </w:r>
      <w:r w:rsidRPr="00D22FD8">
        <w:rPr>
          <w:rFonts w:ascii="Times New Roman" w:hAnsi="Times New Roman"/>
          <w:sz w:val="24"/>
          <w:szCs w:val="24"/>
        </w:rPr>
        <w:t xml:space="preserve">no ano letivo de 2007/08 </w:t>
      </w:r>
      <w:r>
        <w:rPr>
          <w:rFonts w:ascii="Times New Roman" w:hAnsi="Times New Roman"/>
          <w:sz w:val="24"/>
          <w:szCs w:val="24"/>
        </w:rPr>
        <w:t>um aumento significativo se tomarmos em consideração os</w:t>
      </w:r>
      <w:r w:rsidRPr="00D22FD8">
        <w:rPr>
          <w:rFonts w:ascii="Times New Roman" w:hAnsi="Times New Roman"/>
          <w:sz w:val="24"/>
          <w:szCs w:val="24"/>
        </w:rPr>
        <w:t xml:space="preserve"> 875 </w:t>
      </w:r>
      <w:r>
        <w:rPr>
          <w:rFonts w:ascii="Times New Roman" w:hAnsi="Times New Roman"/>
          <w:sz w:val="24"/>
          <w:szCs w:val="24"/>
        </w:rPr>
        <w:t>registados no ano letivo</w:t>
      </w:r>
      <w:r w:rsidRPr="00D22FD8">
        <w:rPr>
          <w:rFonts w:ascii="Times New Roman" w:hAnsi="Times New Roman"/>
          <w:sz w:val="24"/>
          <w:szCs w:val="24"/>
        </w:rPr>
        <w:t xml:space="preserve"> 1997/98, seguido da área de Engenharia, Indústrias Transformadoras e Construção com 487 alunos. Em contrapartida, a área da Educação (Ciências da Educação) e Agricultura são as áreas que registam menos inscritos, com 79 e 35 respetivamente. O pouco </w:t>
      </w:r>
      <w:r>
        <w:rPr>
          <w:rFonts w:ascii="Times New Roman" w:hAnsi="Times New Roman"/>
          <w:sz w:val="24"/>
          <w:szCs w:val="24"/>
        </w:rPr>
        <w:t>interesse registado na área da A</w:t>
      </w:r>
      <w:r w:rsidRPr="00D22FD8">
        <w:rPr>
          <w:rFonts w:ascii="Times New Roman" w:hAnsi="Times New Roman"/>
          <w:sz w:val="24"/>
          <w:szCs w:val="24"/>
        </w:rPr>
        <w:t>gricultura poderá estar ligado ao atraso que este setor ainda regista em Angola, apresentando-se pouco atrativo</w:t>
      </w:r>
      <w:r>
        <w:rPr>
          <w:rFonts w:ascii="Times New Roman" w:hAnsi="Times New Roman"/>
          <w:sz w:val="24"/>
          <w:szCs w:val="24"/>
        </w:rPr>
        <w:t>,</w:t>
      </w:r>
      <w:r w:rsidRPr="00D22FD8">
        <w:rPr>
          <w:rFonts w:ascii="Times New Roman" w:hAnsi="Times New Roman"/>
          <w:sz w:val="24"/>
          <w:szCs w:val="24"/>
        </w:rPr>
        <w:t xml:space="preserve"> condicionando a entrada imediata no mercado de trabalho. </w:t>
      </w:r>
      <w:r>
        <w:rPr>
          <w:rFonts w:ascii="Times New Roman" w:hAnsi="Times New Roman"/>
          <w:sz w:val="24"/>
          <w:szCs w:val="24"/>
        </w:rPr>
        <w:t>Em relação à área da E</w:t>
      </w:r>
      <w:r w:rsidRPr="00E94733">
        <w:rPr>
          <w:rFonts w:ascii="Times New Roman" w:hAnsi="Times New Roman"/>
          <w:sz w:val="24"/>
          <w:szCs w:val="24"/>
        </w:rPr>
        <w:t>ducação, tratando-se de um setor em franca expansão, estando com maior oferta</w:t>
      </w:r>
      <w:r w:rsidRPr="00E94733">
        <w:rPr>
          <w:rStyle w:val="Refdenotadefim"/>
          <w:rFonts w:ascii="Times New Roman" w:hAnsi="Times New Roman"/>
          <w:sz w:val="24"/>
          <w:szCs w:val="24"/>
        </w:rPr>
        <w:endnoteReference w:id="13"/>
      </w:r>
      <w:r w:rsidRPr="00E94733">
        <w:rPr>
          <w:rFonts w:ascii="Times New Roman" w:hAnsi="Times New Roman"/>
          <w:sz w:val="24"/>
          <w:szCs w:val="24"/>
        </w:rPr>
        <w:t xml:space="preserve"> </w:t>
      </w:r>
      <w:r w:rsidR="00403CF3" w:rsidRPr="00E94733">
        <w:rPr>
          <w:rFonts w:ascii="Times New Roman" w:hAnsi="Times New Roman"/>
          <w:sz w:val="24"/>
          <w:szCs w:val="24"/>
        </w:rPr>
        <w:t>em Angola, regista, contudo, menor procura enquanto área específica</w:t>
      </w:r>
      <w:r w:rsidR="00403CF3">
        <w:rPr>
          <w:rFonts w:ascii="Times New Roman" w:hAnsi="Times New Roman"/>
          <w:sz w:val="24"/>
          <w:szCs w:val="24"/>
        </w:rPr>
        <w:t>,</w:t>
      </w:r>
      <w:r w:rsidR="00403CF3" w:rsidRPr="00E94733">
        <w:rPr>
          <w:rFonts w:ascii="Times New Roman" w:hAnsi="Times New Roman"/>
          <w:sz w:val="24"/>
          <w:szCs w:val="24"/>
        </w:rPr>
        <w:t xml:space="preserve"> dado o diploma obtido nas ou</w:t>
      </w:r>
      <w:r w:rsidR="00403CF3">
        <w:rPr>
          <w:rFonts w:ascii="Times New Roman" w:hAnsi="Times New Roman"/>
          <w:sz w:val="24"/>
          <w:szCs w:val="24"/>
        </w:rPr>
        <w:t>tras áreas científicas também dar</w:t>
      </w:r>
      <w:r w:rsidR="00403CF3" w:rsidRPr="00E94733">
        <w:rPr>
          <w:rFonts w:ascii="Times New Roman" w:hAnsi="Times New Roman"/>
          <w:sz w:val="24"/>
          <w:szCs w:val="24"/>
        </w:rPr>
        <w:t xml:space="preserve"> possibilidade de lecionação nos diferentes níveis de ensino. </w:t>
      </w:r>
    </w:p>
    <w:p w:rsidR="00403CF3" w:rsidRPr="009C1A27" w:rsidRDefault="00403CF3" w:rsidP="00E21D72">
      <w:pPr>
        <w:autoSpaceDE w:val="0"/>
        <w:autoSpaceDN w:val="0"/>
        <w:adjustRightInd w:val="0"/>
        <w:snapToGrid w:val="0"/>
        <w:spacing w:after="0" w:line="360" w:lineRule="auto"/>
        <w:ind w:firstLine="900"/>
        <w:jc w:val="both"/>
        <w:rPr>
          <w:rFonts w:ascii="Times New Roman" w:hAnsi="Times New Roman"/>
          <w:sz w:val="24"/>
          <w:szCs w:val="24"/>
        </w:rPr>
      </w:pPr>
      <w:r w:rsidRPr="009C1A27">
        <w:rPr>
          <w:rFonts w:ascii="Times New Roman" w:hAnsi="Times New Roman"/>
          <w:sz w:val="24"/>
          <w:szCs w:val="24"/>
          <w:lang w:eastAsia="pt-PT"/>
        </w:rPr>
        <w:t xml:space="preserve">No entanto, </w:t>
      </w:r>
      <w:r w:rsidRPr="009C1A27">
        <w:rPr>
          <w:rFonts w:ascii="Times New Roman" w:hAnsi="Times New Roman"/>
          <w:sz w:val="24"/>
          <w:szCs w:val="24"/>
        </w:rPr>
        <w:t>apesar destas intenções, a cooperação entre os membros da CPLP ainda se apresenta incipiente para as reais necessidades de Angola. Na realidade, assiste-</w:t>
      </w:r>
      <w:r w:rsidRPr="009C1A27">
        <w:rPr>
          <w:rFonts w:ascii="Times New Roman" w:hAnsi="Times New Roman"/>
          <w:sz w:val="24"/>
          <w:szCs w:val="24"/>
        </w:rPr>
        <w:lastRenderedPageBreak/>
        <w:t xml:space="preserve">se a uma multiplicidade de acordos e planos de intenções que não se traduzem </w:t>
      </w:r>
      <w:r>
        <w:rPr>
          <w:rFonts w:ascii="Times New Roman" w:hAnsi="Times New Roman"/>
          <w:sz w:val="24"/>
          <w:szCs w:val="24"/>
        </w:rPr>
        <w:t>em resultados práticos</w:t>
      </w:r>
      <w:r w:rsidRPr="009C1A27">
        <w:rPr>
          <w:rFonts w:ascii="Times New Roman" w:hAnsi="Times New Roman"/>
          <w:sz w:val="24"/>
          <w:szCs w:val="24"/>
        </w:rPr>
        <w:t xml:space="preserve">. </w:t>
      </w:r>
      <w:r w:rsidRPr="00C857AE">
        <w:rPr>
          <w:rFonts w:ascii="Times New Roman" w:hAnsi="Times New Roman"/>
          <w:sz w:val="24"/>
          <w:szCs w:val="24"/>
        </w:rPr>
        <w:t>Palma e Pessoa constatam que as ações de cooperação promovidas entre instituições de ensino superior português e as dos países da CPLP, apresentam-se dispersas, anárquicas e inorgânicas, sendo abundantes em manifestações de intenções, acordos, protocolos ou convénios que depois não são postos em execução (</w:t>
      </w:r>
      <w:r w:rsidR="00477EDC">
        <w:rPr>
          <w:rFonts w:ascii="Times New Roman" w:hAnsi="Times New Roman"/>
          <w:sz w:val="24"/>
          <w:szCs w:val="24"/>
        </w:rPr>
        <w:t>PALMA</w:t>
      </w:r>
      <w:r>
        <w:rPr>
          <w:rFonts w:ascii="Times New Roman" w:hAnsi="Times New Roman"/>
          <w:sz w:val="24"/>
          <w:szCs w:val="24"/>
        </w:rPr>
        <w:t xml:space="preserve"> &amp; </w:t>
      </w:r>
      <w:r w:rsidR="00477EDC">
        <w:rPr>
          <w:rFonts w:ascii="Times New Roman" w:hAnsi="Times New Roman"/>
          <w:sz w:val="24"/>
          <w:szCs w:val="24"/>
        </w:rPr>
        <w:t>PESSOA</w:t>
      </w:r>
      <w:r>
        <w:rPr>
          <w:rFonts w:ascii="Times New Roman" w:hAnsi="Times New Roman"/>
          <w:sz w:val="24"/>
          <w:szCs w:val="24"/>
        </w:rPr>
        <w:t xml:space="preserve">, </w:t>
      </w:r>
      <w:r w:rsidR="00477EDC">
        <w:rPr>
          <w:rFonts w:ascii="Times New Roman" w:hAnsi="Times New Roman"/>
          <w:sz w:val="24"/>
          <w:szCs w:val="24"/>
        </w:rPr>
        <w:t>2004, p.</w:t>
      </w:r>
      <w:r w:rsidRPr="00C857AE">
        <w:rPr>
          <w:rFonts w:ascii="Times New Roman" w:hAnsi="Times New Roman"/>
          <w:sz w:val="24"/>
          <w:szCs w:val="24"/>
        </w:rPr>
        <w:t xml:space="preserve"> 102).</w:t>
      </w:r>
      <w:r w:rsidRPr="009C1A27">
        <w:rPr>
          <w:rFonts w:ascii="Times New Roman" w:hAnsi="Times New Roman"/>
          <w:sz w:val="24"/>
          <w:szCs w:val="24"/>
        </w:rPr>
        <w:t xml:space="preserve"> </w:t>
      </w:r>
    </w:p>
    <w:p w:rsidR="00403CF3" w:rsidRPr="00D22FD8" w:rsidRDefault="00403CF3" w:rsidP="00E21D72">
      <w:pPr>
        <w:spacing w:after="0" w:line="360" w:lineRule="auto"/>
        <w:ind w:firstLine="900"/>
        <w:jc w:val="both"/>
        <w:rPr>
          <w:rFonts w:ascii="Times New Roman" w:hAnsi="Times New Roman"/>
          <w:sz w:val="24"/>
          <w:szCs w:val="24"/>
        </w:rPr>
      </w:pPr>
      <w:r w:rsidRPr="00D22FD8">
        <w:rPr>
          <w:rFonts w:ascii="Times New Roman" w:hAnsi="Times New Roman"/>
          <w:sz w:val="24"/>
          <w:szCs w:val="24"/>
        </w:rPr>
        <w:t>Se outrora o comércio triangular viabilizou o empreendimento colonial português e ligou os três continentes, atualmente essa ligação é mantida pelos acordos de cooperação estabelecidos, de forma independente, entre os países. Assim, de Angola partem com destino a Portugal estudantes bolseiros com o objetivo de adquirirem formação superior, retornando posteriormente, já formados, para desempenharem as suas funções em Angola. De Portugal para Angola</w:t>
      </w:r>
      <w:r>
        <w:rPr>
          <w:rFonts w:ascii="Times New Roman" w:hAnsi="Times New Roman"/>
          <w:sz w:val="24"/>
          <w:szCs w:val="24"/>
        </w:rPr>
        <w:t xml:space="preserve"> </w:t>
      </w:r>
      <w:r w:rsidRPr="00D22FD8">
        <w:rPr>
          <w:rFonts w:ascii="Times New Roman" w:hAnsi="Times New Roman"/>
          <w:sz w:val="24"/>
          <w:szCs w:val="24"/>
        </w:rPr>
        <w:t xml:space="preserve">regressam não só os angolanos já formados, como também são enviados professores e técnicos para ajudarem a melhorar a oferta de formação superior em Angola. De Angola para o Brasil partem igualmente bolseiros com o mesmo </w:t>
      </w:r>
      <w:r>
        <w:rPr>
          <w:rFonts w:ascii="Times New Roman" w:hAnsi="Times New Roman"/>
          <w:sz w:val="24"/>
          <w:szCs w:val="24"/>
        </w:rPr>
        <w:t>objetivo. Do Brasil para Angola</w:t>
      </w:r>
      <w:r w:rsidRPr="00D22FD8">
        <w:rPr>
          <w:rFonts w:ascii="Times New Roman" w:hAnsi="Times New Roman"/>
          <w:sz w:val="24"/>
          <w:szCs w:val="24"/>
        </w:rPr>
        <w:t xml:space="preserve"> regressam estudantes já formados. Entre Portugal e o Brasil estabelece-se um intercâmbio internacional ao nível de pós-graduações</w:t>
      </w:r>
      <w:r>
        <w:rPr>
          <w:rFonts w:ascii="Times New Roman" w:hAnsi="Times New Roman"/>
          <w:sz w:val="24"/>
          <w:szCs w:val="24"/>
        </w:rPr>
        <w:t xml:space="preserve"> (mestrado, doutoramento, </w:t>
      </w:r>
      <w:r w:rsidRPr="00D22FD8">
        <w:rPr>
          <w:rFonts w:ascii="Times New Roman" w:hAnsi="Times New Roman"/>
          <w:sz w:val="24"/>
          <w:szCs w:val="24"/>
        </w:rPr>
        <w:t>pós-doutoramento), bem como o aperfeiçoamento de docentes e pesquisadores.</w:t>
      </w:r>
    </w:p>
    <w:p w:rsidR="00403CF3" w:rsidRPr="00D22FD8" w:rsidRDefault="00403CF3" w:rsidP="00403CF3">
      <w:pPr>
        <w:spacing w:after="0" w:line="240" w:lineRule="auto"/>
        <w:ind w:firstLine="567"/>
        <w:jc w:val="both"/>
        <w:rPr>
          <w:rFonts w:ascii="Times New Roman" w:hAnsi="Times New Roman"/>
          <w:b/>
          <w:sz w:val="20"/>
          <w:szCs w:val="20"/>
        </w:rPr>
      </w:pPr>
    </w:p>
    <w:p w:rsidR="00403CF3" w:rsidRPr="00AF33F9" w:rsidRDefault="00403CF3" w:rsidP="00403CF3">
      <w:pPr>
        <w:spacing w:after="0" w:line="240" w:lineRule="auto"/>
        <w:rPr>
          <w:rFonts w:ascii="Times New Roman" w:hAnsi="Times New Roman"/>
          <w:b/>
          <w:sz w:val="20"/>
          <w:szCs w:val="20"/>
        </w:rPr>
      </w:pPr>
    </w:p>
    <w:p w:rsidR="00403CF3" w:rsidRDefault="00403CF3">
      <w:pPr>
        <w:rPr>
          <w:rFonts w:ascii="Times New Roman" w:hAnsi="Times New Roman"/>
          <w:b/>
          <w:sz w:val="24"/>
          <w:szCs w:val="24"/>
        </w:rPr>
      </w:pPr>
      <w:r>
        <w:rPr>
          <w:rFonts w:ascii="Times New Roman" w:hAnsi="Times New Roman"/>
          <w:b/>
          <w:sz w:val="24"/>
          <w:szCs w:val="24"/>
        </w:rPr>
        <w:br w:type="page"/>
      </w:r>
    </w:p>
    <w:p w:rsidR="007940C9" w:rsidRDefault="00C13E8D" w:rsidP="00542FE9">
      <w:pPr>
        <w:jc w:val="both"/>
        <w:rPr>
          <w:rFonts w:ascii="Times New Roman" w:hAnsi="Times New Roman"/>
          <w:b/>
          <w:sz w:val="24"/>
          <w:szCs w:val="24"/>
        </w:rPr>
      </w:pPr>
      <w:r w:rsidRPr="00BE5D8E">
        <w:rPr>
          <w:rFonts w:ascii="Times New Roman" w:hAnsi="Times New Roman"/>
          <w:b/>
          <w:sz w:val="24"/>
          <w:szCs w:val="24"/>
        </w:rPr>
        <w:lastRenderedPageBreak/>
        <w:t>Conclusão</w:t>
      </w:r>
    </w:p>
    <w:p w:rsidR="00F76B05" w:rsidRDefault="00F76B05" w:rsidP="00E21D72">
      <w:pPr>
        <w:spacing w:line="360" w:lineRule="auto"/>
        <w:ind w:firstLine="900"/>
        <w:jc w:val="both"/>
        <w:rPr>
          <w:rFonts w:ascii="Times New Roman" w:hAnsi="Times New Roman"/>
          <w:sz w:val="24"/>
          <w:szCs w:val="24"/>
        </w:rPr>
      </w:pPr>
      <w:r>
        <w:rPr>
          <w:rFonts w:ascii="Times New Roman" w:hAnsi="Times New Roman"/>
          <w:sz w:val="24"/>
          <w:szCs w:val="24"/>
        </w:rPr>
        <w:t xml:space="preserve">Os diversos constrangimentos que Angola </w:t>
      </w:r>
      <w:r w:rsidR="001B1B23">
        <w:rPr>
          <w:rFonts w:ascii="Times New Roman" w:hAnsi="Times New Roman"/>
          <w:sz w:val="24"/>
          <w:szCs w:val="24"/>
        </w:rPr>
        <w:t>tem enfrentado</w:t>
      </w:r>
      <w:r>
        <w:rPr>
          <w:rFonts w:ascii="Times New Roman" w:hAnsi="Times New Roman"/>
          <w:sz w:val="24"/>
          <w:szCs w:val="24"/>
        </w:rPr>
        <w:t xml:space="preserve"> levaram a uma necessidade de envio dos seus estudantes universitários para o exterior</w:t>
      </w:r>
      <w:r w:rsidR="005B452C">
        <w:rPr>
          <w:rFonts w:ascii="Times New Roman" w:hAnsi="Times New Roman"/>
          <w:sz w:val="24"/>
          <w:szCs w:val="24"/>
        </w:rPr>
        <w:t>, de modo</w:t>
      </w:r>
      <w:r w:rsidR="00542FE9">
        <w:rPr>
          <w:rFonts w:ascii="Times New Roman" w:hAnsi="Times New Roman"/>
          <w:sz w:val="24"/>
          <w:szCs w:val="24"/>
        </w:rPr>
        <w:t xml:space="preserve"> </w:t>
      </w:r>
      <w:r w:rsidR="00542FE9" w:rsidRPr="00542FE9">
        <w:rPr>
          <w:rFonts w:ascii="Times New Roman" w:hAnsi="Times New Roman"/>
          <w:color w:val="FF0000"/>
          <w:sz w:val="24"/>
          <w:szCs w:val="24"/>
        </w:rPr>
        <w:t>a</w:t>
      </w:r>
      <w:r w:rsidR="005B452C">
        <w:rPr>
          <w:rFonts w:ascii="Times New Roman" w:hAnsi="Times New Roman"/>
          <w:sz w:val="24"/>
          <w:szCs w:val="24"/>
        </w:rPr>
        <w:t xml:space="preserve"> formar os recurso</w:t>
      </w:r>
      <w:r w:rsidR="001B1B23">
        <w:rPr>
          <w:rFonts w:ascii="Times New Roman" w:hAnsi="Times New Roman"/>
          <w:sz w:val="24"/>
          <w:szCs w:val="24"/>
        </w:rPr>
        <w:t>s humanos que o país necessita</w:t>
      </w:r>
      <w:r w:rsidR="005B452C">
        <w:rPr>
          <w:rFonts w:ascii="Times New Roman" w:hAnsi="Times New Roman"/>
          <w:sz w:val="24"/>
          <w:szCs w:val="24"/>
        </w:rPr>
        <w:t>. Mediante acordos</w:t>
      </w:r>
      <w:r w:rsidR="00BF48EC">
        <w:rPr>
          <w:rFonts w:ascii="Times New Roman" w:hAnsi="Times New Roman"/>
          <w:sz w:val="24"/>
          <w:szCs w:val="24"/>
        </w:rPr>
        <w:t xml:space="preserve"> de cooperação com diversos paí</w:t>
      </w:r>
      <w:r w:rsidR="005B452C">
        <w:rPr>
          <w:rFonts w:ascii="Times New Roman" w:hAnsi="Times New Roman"/>
          <w:sz w:val="24"/>
          <w:szCs w:val="24"/>
        </w:rPr>
        <w:t xml:space="preserve">ses, </w:t>
      </w:r>
      <w:r w:rsidR="001B1B23">
        <w:rPr>
          <w:rFonts w:ascii="Times New Roman" w:hAnsi="Times New Roman"/>
          <w:sz w:val="24"/>
          <w:szCs w:val="24"/>
        </w:rPr>
        <w:t xml:space="preserve">têm sido enviados para o exterior, </w:t>
      </w:r>
      <w:r w:rsidR="0016049D">
        <w:rPr>
          <w:rFonts w:ascii="Times New Roman" w:hAnsi="Times New Roman"/>
          <w:sz w:val="24"/>
          <w:szCs w:val="24"/>
        </w:rPr>
        <w:t xml:space="preserve">ao longo dos anos, </w:t>
      </w:r>
      <w:r w:rsidR="005B452C">
        <w:rPr>
          <w:rFonts w:ascii="Times New Roman" w:hAnsi="Times New Roman"/>
          <w:sz w:val="24"/>
          <w:szCs w:val="24"/>
        </w:rPr>
        <w:t xml:space="preserve">estudantes angolanos </w:t>
      </w:r>
      <w:r w:rsidR="00CB312F">
        <w:rPr>
          <w:rFonts w:ascii="Times New Roman" w:hAnsi="Times New Roman"/>
          <w:sz w:val="24"/>
          <w:szCs w:val="24"/>
        </w:rPr>
        <w:t xml:space="preserve">de modo a </w:t>
      </w:r>
      <w:r w:rsidR="005B452C">
        <w:rPr>
          <w:rFonts w:ascii="Times New Roman" w:hAnsi="Times New Roman"/>
          <w:sz w:val="24"/>
          <w:szCs w:val="24"/>
        </w:rPr>
        <w:t>darem continuidade à sua formação</w:t>
      </w:r>
      <w:r w:rsidR="00BF48EC">
        <w:rPr>
          <w:rFonts w:ascii="Times New Roman" w:hAnsi="Times New Roman"/>
          <w:sz w:val="24"/>
          <w:szCs w:val="24"/>
        </w:rPr>
        <w:t xml:space="preserve">. </w:t>
      </w:r>
      <w:r w:rsidR="001B1B23">
        <w:rPr>
          <w:rFonts w:ascii="Times New Roman" w:hAnsi="Times New Roman"/>
          <w:sz w:val="24"/>
          <w:szCs w:val="24"/>
        </w:rPr>
        <w:t>Se no passado esse envio passava quase em exclusivo por Portugal (metrópole), no período p</w:t>
      </w:r>
      <w:r w:rsidR="0016049D">
        <w:rPr>
          <w:rFonts w:ascii="Times New Roman" w:hAnsi="Times New Roman"/>
          <w:sz w:val="24"/>
          <w:szCs w:val="24"/>
        </w:rPr>
        <w:t>ós-</w:t>
      </w:r>
      <w:r w:rsidR="001B1B23">
        <w:rPr>
          <w:rFonts w:ascii="Times New Roman" w:hAnsi="Times New Roman"/>
          <w:sz w:val="24"/>
          <w:szCs w:val="24"/>
        </w:rPr>
        <w:t>independência Cuba e Rússia assumem essa posição</w:t>
      </w:r>
      <w:r w:rsidR="0016049D">
        <w:rPr>
          <w:rFonts w:ascii="Times New Roman" w:hAnsi="Times New Roman"/>
          <w:sz w:val="24"/>
          <w:szCs w:val="24"/>
        </w:rPr>
        <w:t xml:space="preserve">, surgindo como os países que receberam mais estudantes angolanos durante o período de construção do estado socialista. </w:t>
      </w:r>
      <w:r w:rsidR="00BF48EC">
        <w:rPr>
          <w:rFonts w:ascii="Times New Roman" w:hAnsi="Times New Roman"/>
          <w:sz w:val="24"/>
          <w:szCs w:val="24"/>
        </w:rPr>
        <w:t>Com o fim dessa política e a ado</w:t>
      </w:r>
      <w:r w:rsidR="00AB32D4">
        <w:rPr>
          <w:rFonts w:ascii="Times New Roman" w:hAnsi="Times New Roman"/>
          <w:sz w:val="24"/>
          <w:szCs w:val="24"/>
        </w:rPr>
        <w:t>ção do liberalismo económico, novos países surgem como parceiros de cooperação, não</w:t>
      </w:r>
      <w:r w:rsidR="00C77470">
        <w:rPr>
          <w:rFonts w:ascii="Times New Roman" w:hAnsi="Times New Roman"/>
          <w:sz w:val="24"/>
          <w:szCs w:val="24"/>
        </w:rPr>
        <w:t xml:space="preserve"> inibindo, no entanto, a posição </w:t>
      </w:r>
      <w:r w:rsidR="00CB312F">
        <w:rPr>
          <w:rFonts w:ascii="Times New Roman" w:hAnsi="Times New Roman"/>
          <w:sz w:val="24"/>
          <w:szCs w:val="24"/>
        </w:rPr>
        <w:t>privilegiada</w:t>
      </w:r>
      <w:r w:rsidR="00C77470">
        <w:rPr>
          <w:rFonts w:ascii="Times New Roman" w:hAnsi="Times New Roman"/>
          <w:sz w:val="24"/>
          <w:szCs w:val="24"/>
        </w:rPr>
        <w:t xml:space="preserve"> de Cuba e </w:t>
      </w:r>
      <w:r w:rsidR="00CB312F">
        <w:rPr>
          <w:rFonts w:ascii="Times New Roman" w:hAnsi="Times New Roman"/>
          <w:sz w:val="24"/>
          <w:szCs w:val="24"/>
        </w:rPr>
        <w:t xml:space="preserve">da </w:t>
      </w:r>
      <w:r w:rsidR="00C77470">
        <w:rPr>
          <w:rFonts w:ascii="Times New Roman" w:hAnsi="Times New Roman"/>
          <w:sz w:val="24"/>
          <w:szCs w:val="24"/>
        </w:rPr>
        <w:t>Rússia.</w:t>
      </w:r>
    </w:p>
    <w:p w:rsidR="00FE41CB" w:rsidRDefault="00BF48EC" w:rsidP="00E21D72">
      <w:pPr>
        <w:spacing w:line="360" w:lineRule="auto"/>
        <w:ind w:firstLine="900"/>
        <w:jc w:val="both"/>
        <w:rPr>
          <w:rFonts w:ascii="Times New Roman" w:hAnsi="Times New Roman"/>
          <w:sz w:val="24"/>
          <w:szCs w:val="24"/>
        </w:rPr>
      </w:pPr>
      <w:r>
        <w:rPr>
          <w:rFonts w:ascii="Times New Roman" w:hAnsi="Times New Roman"/>
          <w:sz w:val="24"/>
          <w:szCs w:val="24"/>
        </w:rPr>
        <w:t>Portugal e Brasil, dois paí</w:t>
      </w:r>
      <w:r w:rsidR="00C77470">
        <w:rPr>
          <w:rFonts w:ascii="Times New Roman" w:hAnsi="Times New Roman"/>
          <w:sz w:val="24"/>
          <w:szCs w:val="24"/>
        </w:rPr>
        <w:t xml:space="preserve">ses com fortes ligações históricas a Angola, foram </w:t>
      </w:r>
      <w:r w:rsidR="00CB312F">
        <w:rPr>
          <w:rFonts w:ascii="Times New Roman" w:hAnsi="Times New Roman"/>
          <w:sz w:val="24"/>
          <w:szCs w:val="24"/>
        </w:rPr>
        <w:t xml:space="preserve">igualmente, </w:t>
      </w:r>
      <w:r w:rsidR="00C77470">
        <w:rPr>
          <w:rFonts w:ascii="Times New Roman" w:hAnsi="Times New Roman"/>
          <w:sz w:val="24"/>
          <w:szCs w:val="24"/>
        </w:rPr>
        <w:t>ao longo dos anos</w:t>
      </w:r>
      <w:r w:rsidR="00CB312F">
        <w:rPr>
          <w:rFonts w:ascii="Times New Roman" w:hAnsi="Times New Roman"/>
          <w:sz w:val="24"/>
          <w:szCs w:val="24"/>
        </w:rPr>
        <w:t>,</w:t>
      </w:r>
      <w:r w:rsidR="00C77470">
        <w:rPr>
          <w:rFonts w:ascii="Times New Roman" w:hAnsi="Times New Roman"/>
          <w:sz w:val="24"/>
          <w:szCs w:val="24"/>
        </w:rPr>
        <w:t xml:space="preserve"> parceiros d</w:t>
      </w:r>
      <w:r w:rsidR="00CB312F">
        <w:rPr>
          <w:rFonts w:ascii="Times New Roman" w:hAnsi="Times New Roman"/>
          <w:sz w:val="24"/>
          <w:szCs w:val="24"/>
        </w:rPr>
        <w:t>e</w:t>
      </w:r>
      <w:r w:rsidR="00C77470">
        <w:rPr>
          <w:rFonts w:ascii="Times New Roman" w:hAnsi="Times New Roman"/>
          <w:sz w:val="24"/>
          <w:szCs w:val="24"/>
        </w:rPr>
        <w:t xml:space="preserve"> cooperação no que toca à formação superior de angolanos, ao receberem muitos estudantes </w:t>
      </w:r>
      <w:r w:rsidR="00183531">
        <w:rPr>
          <w:rFonts w:ascii="Times New Roman" w:hAnsi="Times New Roman"/>
          <w:sz w:val="24"/>
          <w:szCs w:val="24"/>
        </w:rPr>
        <w:t xml:space="preserve">angolanos </w:t>
      </w:r>
      <w:r w:rsidR="00C77470">
        <w:rPr>
          <w:rFonts w:ascii="Times New Roman" w:hAnsi="Times New Roman"/>
          <w:sz w:val="24"/>
          <w:szCs w:val="24"/>
        </w:rPr>
        <w:t xml:space="preserve">nas suas instituições de ensino superior. </w:t>
      </w:r>
      <w:r w:rsidR="00FE41CB" w:rsidRPr="0073334B">
        <w:rPr>
          <w:rFonts w:ascii="Times New Roman" w:hAnsi="Times New Roman"/>
          <w:sz w:val="24"/>
          <w:szCs w:val="24"/>
        </w:rPr>
        <w:t xml:space="preserve">Portugal assumiu a sua posição de parceiro de cooperação de Angola desde a independência deste país, recebendo muitos estudantes angolanos nas suas instituições de ensino superior, sobretudo </w:t>
      </w:r>
      <w:r w:rsidR="00FE41CB">
        <w:rPr>
          <w:rFonts w:ascii="Times New Roman" w:hAnsi="Times New Roman"/>
          <w:sz w:val="24"/>
          <w:szCs w:val="24"/>
        </w:rPr>
        <w:t xml:space="preserve">no período de </w:t>
      </w:r>
      <w:r w:rsidR="00183531">
        <w:rPr>
          <w:rFonts w:ascii="Times New Roman" w:hAnsi="Times New Roman"/>
          <w:sz w:val="24"/>
          <w:szCs w:val="24"/>
        </w:rPr>
        <w:t>reinício</w:t>
      </w:r>
      <w:r w:rsidR="00FE41CB">
        <w:rPr>
          <w:rFonts w:ascii="Times New Roman" w:hAnsi="Times New Roman"/>
          <w:sz w:val="24"/>
          <w:szCs w:val="24"/>
        </w:rPr>
        <w:t xml:space="preserve"> </w:t>
      </w:r>
      <w:r w:rsidR="00183531">
        <w:rPr>
          <w:rFonts w:ascii="Times New Roman" w:hAnsi="Times New Roman"/>
          <w:sz w:val="24"/>
          <w:szCs w:val="24"/>
        </w:rPr>
        <w:t>d</w:t>
      </w:r>
      <w:r w:rsidR="00FE41CB">
        <w:rPr>
          <w:rFonts w:ascii="Times New Roman" w:hAnsi="Times New Roman"/>
          <w:sz w:val="24"/>
          <w:szCs w:val="24"/>
        </w:rPr>
        <w:t>a guerra</w:t>
      </w:r>
      <w:r w:rsidR="00183531">
        <w:rPr>
          <w:rFonts w:ascii="Times New Roman" w:hAnsi="Times New Roman"/>
          <w:sz w:val="24"/>
          <w:szCs w:val="24"/>
        </w:rPr>
        <w:t xml:space="preserve"> civil</w:t>
      </w:r>
      <w:r w:rsidR="00FE41CB">
        <w:rPr>
          <w:rFonts w:ascii="Times New Roman" w:hAnsi="Times New Roman"/>
          <w:sz w:val="24"/>
          <w:szCs w:val="24"/>
        </w:rPr>
        <w:t xml:space="preserve"> (1992-2002)</w:t>
      </w:r>
      <w:r w:rsidR="00FE41CB" w:rsidRPr="0073334B">
        <w:rPr>
          <w:rFonts w:ascii="Times New Roman" w:hAnsi="Times New Roman"/>
          <w:sz w:val="24"/>
          <w:szCs w:val="24"/>
        </w:rPr>
        <w:t xml:space="preserve">. </w:t>
      </w:r>
      <w:r w:rsidR="00FE41CB">
        <w:rPr>
          <w:rFonts w:ascii="Times New Roman" w:hAnsi="Times New Roman"/>
          <w:sz w:val="24"/>
          <w:szCs w:val="24"/>
        </w:rPr>
        <w:t>Mais recentemente, o Brasil, reconhecendo a importância do continente africano para a sua política de cooperação, “elegeu” Angola como um dos seus principais parceiros no continente, disponibilizando igualmente muitas vagas nas suas instituições de ensino superior para estudantes angolanos, ofuscando assim o protagonismo de Portugal.</w:t>
      </w:r>
      <w:r w:rsidR="0016049D">
        <w:rPr>
          <w:rFonts w:ascii="Times New Roman" w:hAnsi="Times New Roman"/>
          <w:sz w:val="24"/>
          <w:szCs w:val="24"/>
        </w:rPr>
        <w:t xml:space="preserve"> </w:t>
      </w:r>
      <w:r w:rsidR="00FE41CB">
        <w:rPr>
          <w:rFonts w:ascii="Times New Roman" w:hAnsi="Times New Roman"/>
          <w:sz w:val="24"/>
          <w:szCs w:val="24"/>
        </w:rPr>
        <w:t>Entre estes três países vem-se estabelecendo assim uma rede de cooperação estudantil em que Angola tem sido a principal beneficiada</w:t>
      </w:r>
      <w:r w:rsidR="00212662">
        <w:rPr>
          <w:rFonts w:ascii="Times New Roman" w:hAnsi="Times New Roman"/>
          <w:sz w:val="24"/>
          <w:szCs w:val="24"/>
        </w:rPr>
        <w:t>, reforçada com a criação da CPLP</w:t>
      </w:r>
      <w:r w:rsidR="00FE41CB">
        <w:rPr>
          <w:rFonts w:ascii="Times New Roman" w:hAnsi="Times New Roman"/>
          <w:sz w:val="24"/>
          <w:szCs w:val="24"/>
        </w:rPr>
        <w:t xml:space="preserve">. </w:t>
      </w:r>
      <w:r w:rsidR="0016049D">
        <w:rPr>
          <w:rFonts w:ascii="Times New Roman" w:hAnsi="Times New Roman"/>
          <w:sz w:val="24"/>
          <w:szCs w:val="24"/>
        </w:rPr>
        <w:t>Resta, contudo,</w:t>
      </w:r>
      <w:r w:rsidR="00FE41CB">
        <w:rPr>
          <w:rFonts w:ascii="Times New Roman" w:hAnsi="Times New Roman"/>
          <w:sz w:val="24"/>
          <w:szCs w:val="24"/>
        </w:rPr>
        <w:t xml:space="preserve"> saber se </w:t>
      </w:r>
      <w:r w:rsidR="00212662">
        <w:rPr>
          <w:rFonts w:ascii="Times New Roman" w:hAnsi="Times New Roman"/>
          <w:sz w:val="24"/>
          <w:szCs w:val="24"/>
        </w:rPr>
        <w:t xml:space="preserve">Angola </w:t>
      </w:r>
      <w:r w:rsidR="00FE41CB">
        <w:rPr>
          <w:rFonts w:ascii="Times New Roman" w:hAnsi="Times New Roman"/>
          <w:sz w:val="24"/>
          <w:szCs w:val="24"/>
        </w:rPr>
        <w:t xml:space="preserve">tem aproveitado esse apoio da melhor forma, ao reconhecer o papel destes países, mas sobretudo, ao aproveitar os recursos humanos qualificados regressados destes países no seu processo de desenvolvimento. </w:t>
      </w:r>
    </w:p>
    <w:p w:rsidR="00BF48EC" w:rsidRDefault="00BF48EC" w:rsidP="00FE41CB">
      <w:pPr>
        <w:rPr>
          <w:rFonts w:ascii="Times New Roman" w:hAnsi="Times New Roman"/>
          <w:sz w:val="24"/>
          <w:szCs w:val="24"/>
        </w:rPr>
      </w:pPr>
    </w:p>
    <w:p w:rsidR="00BE5D8E" w:rsidRDefault="00BE5D8E" w:rsidP="00FE41CB">
      <w:pPr>
        <w:rPr>
          <w:rFonts w:ascii="Times New Roman" w:hAnsi="Times New Roman"/>
          <w:sz w:val="24"/>
          <w:szCs w:val="24"/>
        </w:rPr>
      </w:pPr>
      <w:r>
        <w:rPr>
          <w:rFonts w:ascii="Times New Roman" w:hAnsi="Times New Roman"/>
          <w:sz w:val="24"/>
          <w:szCs w:val="24"/>
        </w:rPr>
        <w:br w:type="page"/>
      </w:r>
    </w:p>
    <w:p w:rsidR="00B65464" w:rsidRDefault="00B65464" w:rsidP="002C2599">
      <w:pPr>
        <w:jc w:val="center"/>
        <w:rPr>
          <w:rFonts w:ascii="Times New Roman" w:hAnsi="Times New Roman"/>
          <w:b/>
          <w:sz w:val="24"/>
          <w:szCs w:val="24"/>
        </w:rPr>
      </w:pPr>
      <w:r>
        <w:rPr>
          <w:rFonts w:ascii="Times New Roman" w:hAnsi="Times New Roman"/>
          <w:b/>
          <w:sz w:val="24"/>
          <w:szCs w:val="24"/>
        </w:rPr>
        <w:lastRenderedPageBreak/>
        <w:t>Notas</w:t>
      </w:r>
    </w:p>
    <w:sectPr w:rsidR="00B65464" w:rsidSect="00B65464">
      <w:footnotePr>
        <w:pos w:val="beneathText"/>
      </w:footnotePr>
      <w:endnotePr>
        <w:numFmt w:val="decimal"/>
      </w:endnotePr>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CFC" w:rsidRDefault="00945CFC" w:rsidP="00DA21FB">
      <w:pPr>
        <w:spacing w:after="0" w:line="240" w:lineRule="auto"/>
      </w:pPr>
      <w:r>
        <w:separator/>
      </w:r>
    </w:p>
  </w:endnote>
  <w:endnote w:type="continuationSeparator" w:id="0">
    <w:p w:rsidR="00945CFC" w:rsidRDefault="00945CFC" w:rsidP="00DA21FB">
      <w:pPr>
        <w:spacing w:after="0" w:line="240" w:lineRule="auto"/>
      </w:pPr>
      <w:r>
        <w:continuationSeparator/>
      </w:r>
    </w:p>
  </w:endnote>
  <w:endnote w:id="1">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Decreto-lei 48 790 de 23 de Dezembro de 1968.</w:t>
      </w:r>
    </w:p>
  </w:endnote>
  <w:endnote w:id="2">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Portaria 77-A/76.</w:t>
      </w:r>
    </w:p>
  </w:endnote>
  <w:endnote w:id="3">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Reinício da guerra civil.</w:t>
      </w:r>
    </w:p>
  </w:endnote>
  <w:endnote w:id="4">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“A proporção da despesa total com o setor da educação diminuiu de 6,1 por cento em 1998 para 3,0 por cento em 1999, recuperando depois em 2000 (4,3 por cento) e em 2001 (6,4 por cento)” (PNUD-Angola, 2002: 80).</w:t>
      </w:r>
    </w:p>
  </w:endnote>
  <w:endnote w:id="5">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w:t>
      </w:r>
      <w:r w:rsidRPr="00B65464">
        <w:rPr>
          <w:rFonts w:ascii="Times New Roman" w:hAnsi="Times New Roman"/>
          <w:i/>
          <w:sz w:val="22"/>
          <w:szCs w:val="22"/>
        </w:rPr>
        <w:t>Southern Africa Development Community</w:t>
      </w:r>
      <w:r w:rsidRPr="00B65464">
        <w:rPr>
          <w:rFonts w:ascii="Times New Roman" w:hAnsi="Times New Roman"/>
          <w:sz w:val="22"/>
          <w:szCs w:val="22"/>
        </w:rPr>
        <w:t xml:space="preserve"> – Comunidade para o desenvolvimento da África Austral: organização sub-regional de integração económica dos países da África Austral. Fazem parte os seguintes países: Angola, África do Sul, Botswana, Ilhas Maurícias, Lesotho, Malawi, Moçambique, Namíbia, República Democrática do Congo, Seychelles, Swazilândia, Tanzânia, Zâmbia, Zimbabué.</w:t>
      </w:r>
    </w:p>
  </w:endnote>
  <w:endnote w:id="6">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w:t>
      </w:r>
      <w:r w:rsidRPr="00B65464">
        <w:rPr>
          <w:rFonts w:ascii="Times New Roman" w:hAnsi="Times New Roman"/>
          <w:sz w:val="22"/>
          <w:szCs w:val="22"/>
          <w:u w:val="single"/>
        </w:rPr>
        <w:t>http://</w:t>
      </w:r>
      <w:hyperlink r:id="rId1" w:history="1">
        <w:r w:rsidRPr="00B65464">
          <w:rPr>
            <w:rStyle w:val="Hiperligao"/>
            <w:rFonts w:ascii="Times New Roman" w:hAnsi="Times New Roman"/>
            <w:sz w:val="22"/>
            <w:szCs w:val="22"/>
          </w:rPr>
          <w:t>www.minfin.gov.ao</w:t>
        </w:r>
      </w:hyperlink>
      <w:r w:rsidRPr="00B65464">
        <w:rPr>
          <w:rFonts w:ascii="Times New Roman" w:hAnsi="Times New Roman"/>
          <w:sz w:val="22"/>
          <w:szCs w:val="22"/>
        </w:rPr>
        <w:t xml:space="preserve"> (acedido a 23/12/2011).</w:t>
      </w:r>
    </w:p>
  </w:endnote>
  <w:endnote w:id="7">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DR Resolução nº 29/09 de 15 de Abril, do Conselho de Ministros.</w:t>
      </w:r>
    </w:p>
  </w:endnote>
  <w:endnote w:id="8">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DR Resolução nº 29/09 de 15 de Abril de 2009, pp. 1744.</w:t>
      </w:r>
    </w:p>
  </w:endnote>
  <w:endnote w:id="9">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Pepetela, Edmundo Rocha, entre muitos outros.</w:t>
      </w:r>
    </w:p>
  </w:endnote>
  <w:endnote w:id="10">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O período compreendido entre 1975-1980 ficou marcado por uma profunda instabilidade em Angola (independência, êxodo massivo dos recursos humanos qualificados, paralisação económica, tentativa de golpe de Estado dentro do mesmo partido, morte do presidente Agostinho Neto) condicionando a celebração de qualquer tipo de acordo de cooperação.</w:t>
      </w:r>
    </w:p>
  </w:endnote>
  <w:endnote w:id="11">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Fazem parte da CPLP os seguintes países: Angola, Brasil, Cabo Verde, Guiné Bissau, Moçambique, Portugal, São Tomé e Príncipe e Timor Leste.</w:t>
      </w:r>
    </w:p>
  </w:endnote>
  <w:endnote w:id="12">
    <w:p w:rsidR="00B84B75" w:rsidRPr="00B65464" w:rsidRDefault="00B84B75" w:rsidP="00B65464">
      <w:pPr>
        <w:pStyle w:val="Textodenotadefim"/>
        <w:jc w:val="both"/>
        <w:rPr>
          <w:rFonts w:ascii="Times New Roman" w:hAnsi="Times New Roman"/>
          <w:sz w:val="22"/>
          <w:szCs w:val="22"/>
        </w:rPr>
      </w:pPr>
      <w:r w:rsidRPr="00B65464">
        <w:rPr>
          <w:rStyle w:val="Refdenotadefim"/>
          <w:rFonts w:ascii="Times New Roman" w:hAnsi="Times New Roman"/>
          <w:sz w:val="22"/>
          <w:szCs w:val="22"/>
        </w:rPr>
        <w:endnoteRef/>
      </w:r>
      <w:r w:rsidRPr="00B65464">
        <w:rPr>
          <w:rFonts w:ascii="Times New Roman" w:hAnsi="Times New Roman"/>
          <w:sz w:val="22"/>
          <w:szCs w:val="22"/>
        </w:rPr>
        <w:t xml:space="preserve"> </w:t>
      </w:r>
      <w:r w:rsidRPr="00B65464">
        <w:rPr>
          <w:rFonts w:ascii="Times New Roman" w:hAnsi="Times New Roman"/>
          <w:sz w:val="22"/>
          <w:szCs w:val="22"/>
          <w:u w:val="single"/>
        </w:rPr>
        <w:t>http://</w:t>
      </w:r>
      <w:hyperlink r:id="rId2" w:history="1">
        <w:r w:rsidRPr="00B65464">
          <w:rPr>
            <w:rStyle w:val="Hiperligao"/>
            <w:rFonts w:ascii="Times New Roman" w:hAnsi="Times New Roman"/>
            <w:sz w:val="22"/>
            <w:szCs w:val="22"/>
          </w:rPr>
          <w:t>www.cplp.org</w:t>
        </w:r>
      </w:hyperlink>
      <w:r w:rsidRPr="00B65464">
        <w:rPr>
          <w:rFonts w:ascii="Times New Roman" w:hAnsi="Times New Roman"/>
          <w:sz w:val="22"/>
          <w:szCs w:val="22"/>
        </w:rPr>
        <w:t xml:space="preserve"> (acedido a 24/12/2011).</w:t>
      </w:r>
    </w:p>
  </w:endnote>
  <w:endnote w:id="13">
    <w:p w:rsidR="00B84B75" w:rsidRDefault="00B84B75" w:rsidP="00B65464">
      <w:pPr>
        <w:pStyle w:val="NotasdeRodap"/>
      </w:pPr>
      <w:r w:rsidRPr="00B65464">
        <w:rPr>
          <w:rStyle w:val="Refdenotadefim"/>
        </w:rPr>
        <w:endnoteRef/>
      </w:r>
      <w:r w:rsidRPr="00B65464">
        <w:t xml:space="preserve"> A falta de professores no período pós-independência levou à criação de Escolas de Formação de Professores, posteriormente designadas de Instituto Superior de Ciências da Educação (ISCED), em várias províncias de Angola, nomeadamente em Luanda, Lubango, Benguela, Huambo, Cabinda e Uíge. Atualmente, as novas regiões académicas também lecionam cursos de formação de professores, aumentando a oferta formativa.</w:t>
      </w: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r>
        <w:br/>
      </w: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Default="00B84B75" w:rsidP="00B65464">
      <w:pPr>
        <w:pStyle w:val="NotasdeRodap"/>
      </w:pPr>
    </w:p>
    <w:p w:rsidR="00B84B75" w:rsidRPr="00BE5D8E" w:rsidRDefault="00B84B75" w:rsidP="002C2599">
      <w:pPr>
        <w:rPr>
          <w:rFonts w:ascii="Times New Roman" w:hAnsi="Times New Roman"/>
          <w:b/>
          <w:sz w:val="24"/>
          <w:szCs w:val="24"/>
        </w:rPr>
      </w:pPr>
      <w:r>
        <w:rPr>
          <w:rFonts w:ascii="Times New Roman" w:hAnsi="Times New Roman"/>
          <w:b/>
          <w:sz w:val="24"/>
          <w:szCs w:val="24"/>
        </w:rPr>
        <w:t>Referências</w:t>
      </w:r>
    </w:p>
    <w:p w:rsidR="00B84B75" w:rsidRPr="00CA7EDC" w:rsidRDefault="00B84B75" w:rsidP="002C2599">
      <w:pPr>
        <w:jc w:val="both"/>
        <w:rPr>
          <w:rFonts w:ascii="Times New Roman" w:hAnsi="Times New Roman"/>
          <w:sz w:val="24"/>
          <w:szCs w:val="24"/>
        </w:rPr>
      </w:pPr>
      <w:r>
        <w:rPr>
          <w:rFonts w:ascii="Times New Roman" w:hAnsi="Times New Roman"/>
          <w:sz w:val="24"/>
          <w:szCs w:val="24"/>
        </w:rPr>
        <w:t>AFONSO, M. M.</w:t>
      </w:r>
      <w:r w:rsidRPr="00CA7EDC">
        <w:rPr>
          <w:rFonts w:ascii="Times New Roman" w:hAnsi="Times New Roman"/>
          <w:sz w:val="24"/>
          <w:szCs w:val="24"/>
        </w:rPr>
        <w:t xml:space="preserve"> </w:t>
      </w:r>
      <w:r>
        <w:rPr>
          <w:rFonts w:ascii="Times New Roman" w:hAnsi="Times New Roman"/>
          <w:i/>
          <w:sz w:val="24"/>
          <w:szCs w:val="24"/>
        </w:rPr>
        <w:t>Cooperação para o desenvolvimento: evolução e perspetivas f</w:t>
      </w:r>
      <w:r w:rsidRPr="00CA7EDC">
        <w:rPr>
          <w:rFonts w:ascii="Times New Roman" w:hAnsi="Times New Roman"/>
          <w:i/>
          <w:sz w:val="24"/>
          <w:szCs w:val="24"/>
        </w:rPr>
        <w:t>uturas</w:t>
      </w:r>
      <w:r w:rsidRPr="00CA7EDC">
        <w:rPr>
          <w:rFonts w:ascii="Times New Roman" w:hAnsi="Times New Roman"/>
          <w:sz w:val="24"/>
          <w:szCs w:val="24"/>
        </w:rPr>
        <w:t>. Lis</w:t>
      </w:r>
      <w:r>
        <w:rPr>
          <w:rFonts w:ascii="Times New Roman" w:hAnsi="Times New Roman"/>
          <w:sz w:val="24"/>
          <w:szCs w:val="24"/>
        </w:rPr>
        <w:t>boa:</w:t>
      </w:r>
      <w:r w:rsidRPr="00CA7EDC">
        <w:rPr>
          <w:rFonts w:ascii="Times New Roman" w:hAnsi="Times New Roman"/>
          <w:sz w:val="24"/>
          <w:szCs w:val="24"/>
        </w:rPr>
        <w:t xml:space="preserve"> CIDAC</w:t>
      </w:r>
      <w:r>
        <w:rPr>
          <w:rFonts w:ascii="Times New Roman" w:hAnsi="Times New Roman"/>
          <w:sz w:val="24"/>
          <w:szCs w:val="24"/>
        </w:rPr>
        <w:t>, 1995.</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 xml:space="preserve">ALEXANDRE, V. </w:t>
      </w:r>
      <w:r>
        <w:rPr>
          <w:rFonts w:ascii="Times New Roman" w:hAnsi="Times New Roman"/>
          <w:i/>
          <w:sz w:val="24"/>
          <w:szCs w:val="24"/>
        </w:rPr>
        <w:t>Velho Brasil novas á</w:t>
      </w:r>
      <w:r w:rsidRPr="00642D89">
        <w:rPr>
          <w:rFonts w:ascii="Times New Roman" w:hAnsi="Times New Roman"/>
          <w:i/>
          <w:sz w:val="24"/>
          <w:szCs w:val="24"/>
        </w:rPr>
        <w:t>fricas: Portugal e o Império (1808 – 1975)</w:t>
      </w:r>
      <w:r>
        <w:rPr>
          <w:rFonts w:ascii="Times New Roman" w:hAnsi="Times New Roman"/>
          <w:i/>
          <w:sz w:val="24"/>
          <w:szCs w:val="24"/>
        </w:rPr>
        <w:t>.</w:t>
      </w:r>
      <w:r>
        <w:rPr>
          <w:rFonts w:ascii="Times New Roman" w:hAnsi="Times New Roman"/>
          <w:sz w:val="24"/>
          <w:szCs w:val="24"/>
        </w:rPr>
        <w:t xml:space="preserve"> Porto:</w:t>
      </w:r>
      <w:r w:rsidRPr="00642D89">
        <w:rPr>
          <w:rFonts w:ascii="Times New Roman" w:hAnsi="Times New Roman"/>
          <w:sz w:val="24"/>
          <w:szCs w:val="24"/>
        </w:rPr>
        <w:t xml:space="preserve"> Edições Afrontamento</w:t>
      </w:r>
      <w:r>
        <w:rPr>
          <w:rFonts w:ascii="Times New Roman" w:hAnsi="Times New Roman"/>
          <w:sz w:val="24"/>
          <w:szCs w:val="24"/>
        </w:rPr>
        <w:t>, 2000.</w:t>
      </w:r>
    </w:p>
    <w:p w:rsidR="00B84B75" w:rsidRPr="00A36614" w:rsidRDefault="00B84B75" w:rsidP="002C2599">
      <w:pPr>
        <w:ind w:left="540" w:hanging="540"/>
        <w:jc w:val="both"/>
        <w:rPr>
          <w:rFonts w:ascii="Times New Roman" w:hAnsi="Times New Roman"/>
          <w:sz w:val="24"/>
          <w:szCs w:val="24"/>
        </w:rPr>
      </w:pPr>
      <w:r w:rsidRPr="00A36614">
        <w:rPr>
          <w:rFonts w:ascii="Times New Roman" w:hAnsi="Times New Roman"/>
          <w:sz w:val="24"/>
          <w:szCs w:val="24"/>
        </w:rPr>
        <w:t>Anuário Estatístico do Ultramar (1961 – 1973). Lisboa: INE.</w:t>
      </w:r>
    </w:p>
    <w:p w:rsidR="00B84B75" w:rsidRPr="00AC0E94" w:rsidRDefault="00B84B75" w:rsidP="002C2599">
      <w:pPr>
        <w:ind w:left="540" w:hanging="540"/>
        <w:jc w:val="both"/>
      </w:pPr>
      <w:r w:rsidRPr="00A36614">
        <w:rPr>
          <w:rFonts w:ascii="Times New Roman" w:hAnsi="Times New Roman"/>
          <w:sz w:val="24"/>
          <w:szCs w:val="24"/>
        </w:rPr>
        <w:t>Anuário Estatístico da Província de Angola (1963 – 1972). Luanda: INE Angola</w:t>
      </w:r>
      <w:r>
        <w:t>.</w:t>
      </w:r>
    </w:p>
    <w:p w:rsidR="00B84B75" w:rsidRPr="00642D89" w:rsidRDefault="00B84B75" w:rsidP="002C2599">
      <w:pPr>
        <w:jc w:val="both"/>
        <w:rPr>
          <w:rFonts w:ascii="Times New Roman" w:hAnsi="Times New Roman"/>
          <w:sz w:val="24"/>
          <w:szCs w:val="24"/>
        </w:rPr>
      </w:pPr>
      <w:r w:rsidRPr="00642D89">
        <w:rPr>
          <w:rFonts w:ascii="Times New Roman" w:hAnsi="Times New Roman"/>
          <w:sz w:val="24"/>
          <w:szCs w:val="24"/>
        </w:rPr>
        <w:t xml:space="preserve">ApexBrasil (Agência Brasileira de Promoção de </w:t>
      </w:r>
      <w:r>
        <w:rPr>
          <w:rFonts w:ascii="Times New Roman" w:hAnsi="Times New Roman"/>
          <w:sz w:val="24"/>
          <w:szCs w:val="24"/>
        </w:rPr>
        <w:t xml:space="preserve">Exportações e Investimentos). </w:t>
      </w:r>
      <w:r>
        <w:rPr>
          <w:rFonts w:ascii="Times New Roman" w:hAnsi="Times New Roman"/>
          <w:i/>
          <w:sz w:val="24"/>
          <w:szCs w:val="24"/>
        </w:rPr>
        <w:t>Angola: estudo de o</w:t>
      </w:r>
      <w:r w:rsidRPr="00642D89">
        <w:rPr>
          <w:rFonts w:ascii="Times New Roman" w:hAnsi="Times New Roman"/>
          <w:i/>
          <w:sz w:val="24"/>
          <w:szCs w:val="24"/>
        </w:rPr>
        <w:t>portunidades</w:t>
      </w:r>
      <w:r>
        <w:rPr>
          <w:rFonts w:ascii="Times New Roman" w:hAnsi="Times New Roman"/>
          <w:i/>
          <w:sz w:val="24"/>
          <w:szCs w:val="24"/>
        </w:rPr>
        <w:t>.</w:t>
      </w:r>
      <w:r w:rsidRPr="00642D89">
        <w:rPr>
          <w:rFonts w:ascii="Times New Roman" w:hAnsi="Times New Roman"/>
          <w:sz w:val="24"/>
          <w:szCs w:val="24"/>
        </w:rPr>
        <w:t xml:space="preserve"> Brasília, Unidade de Inteligência Comercial e Competitiva</w:t>
      </w:r>
      <w:r>
        <w:rPr>
          <w:rFonts w:ascii="Times New Roman" w:hAnsi="Times New Roman"/>
          <w:sz w:val="24"/>
          <w:szCs w:val="24"/>
        </w:rPr>
        <w:t xml:space="preserve">. Disponível em: </w:t>
      </w:r>
      <w:r w:rsidRPr="00FB2DBF">
        <w:rPr>
          <w:rFonts w:ascii="Times New Roman" w:hAnsi="Times New Roman"/>
          <w:color w:val="1F497D" w:themeColor="text2"/>
          <w:sz w:val="24"/>
          <w:szCs w:val="24"/>
          <w:u w:val="single"/>
        </w:rPr>
        <w:t>http://</w:t>
      </w:r>
      <w:hyperlink r:id="rId3" w:history="1">
        <w:r w:rsidRPr="00FB2DBF">
          <w:rPr>
            <w:rStyle w:val="Hiperligao"/>
            <w:rFonts w:ascii="Times New Roman" w:hAnsi="Times New Roman"/>
            <w:color w:val="1F497D" w:themeColor="text2"/>
            <w:sz w:val="24"/>
            <w:szCs w:val="24"/>
          </w:rPr>
          <w:t>www.pexbrasil.com.br</w:t>
        </w:r>
      </w:hyperlink>
      <w:r>
        <w:rPr>
          <w:rFonts w:ascii="Times New Roman" w:hAnsi="Times New Roman"/>
          <w:sz w:val="24"/>
          <w:szCs w:val="24"/>
        </w:rPr>
        <w:t xml:space="preserve">. Acesso em: </w:t>
      </w:r>
      <w:r w:rsidRPr="00642D89">
        <w:rPr>
          <w:rFonts w:ascii="Times New Roman" w:hAnsi="Times New Roman"/>
          <w:sz w:val="24"/>
          <w:szCs w:val="24"/>
        </w:rPr>
        <w:t>24/12/</w:t>
      </w:r>
      <w:r>
        <w:rPr>
          <w:rFonts w:ascii="Times New Roman" w:hAnsi="Times New Roman"/>
          <w:sz w:val="24"/>
          <w:szCs w:val="24"/>
        </w:rPr>
        <w:t>2011, 2010.</w:t>
      </w:r>
    </w:p>
    <w:p w:rsidR="00B84B75" w:rsidRPr="007D675F" w:rsidRDefault="00B84B75" w:rsidP="002C2599">
      <w:pPr>
        <w:spacing w:line="360" w:lineRule="auto"/>
        <w:jc w:val="both"/>
        <w:rPr>
          <w:rFonts w:ascii="Times New Roman" w:hAnsi="Times New Roman"/>
          <w:sz w:val="24"/>
          <w:szCs w:val="24"/>
        </w:rPr>
      </w:pPr>
      <w:r>
        <w:rPr>
          <w:rFonts w:ascii="Times New Roman" w:hAnsi="Times New Roman"/>
          <w:sz w:val="24"/>
          <w:szCs w:val="24"/>
        </w:rPr>
        <w:t xml:space="preserve">CARVALHO, C. </w:t>
      </w:r>
      <w:r w:rsidRPr="007D675F">
        <w:rPr>
          <w:rFonts w:ascii="Times New Roman" w:hAnsi="Times New Roman"/>
          <w:i/>
          <w:sz w:val="24"/>
          <w:szCs w:val="24"/>
        </w:rPr>
        <w:t>O centro de estudos africanos e a cooperação em educação</w:t>
      </w:r>
      <w:r w:rsidRPr="007D675F">
        <w:rPr>
          <w:rFonts w:ascii="Times New Roman" w:hAnsi="Times New Roman"/>
          <w:sz w:val="24"/>
          <w:szCs w:val="24"/>
        </w:rPr>
        <w:t xml:space="preserve">. </w:t>
      </w:r>
      <w:r>
        <w:rPr>
          <w:rFonts w:ascii="Times New Roman" w:hAnsi="Times New Roman"/>
          <w:sz w:val="24"/>
          <w:szCs w:val="24"/>
        </w:rPr>
        <w:t xml:space="preserve">In Livro de Atas do I COOPEDU. Lisboa: CEA, </w:t>
      </w:r>
      <w:r w:rsidRPr="007D675F">
        <w:rPr>
          <w:rFonts w:ascii="Times New Roman" w:hAnsi="Times New Roman"/>
          <w:sz w:val="24"/>
          <w:szCs w:val="24"/>
        </w:rPr>
        <w:t>41-46</w:t>
      </w:r>
      <w:r>
        <w:rPr>
          <w:rFonts w:ascii="Times New Roman" w:hAnsi="Times New Roman"/>
          <w:sz w:val="24"/>
          <w:szCs w:val="24"/>
        </w:rPr>
        <w:t>, 2010.</w:t>
      </w:r>
    </w:p>
    <w:p w:rsidR="00B84B75" w:rsidRPr="00642D89" w:rsidRDefault="00B84B75" w:rsidP="002C2599">
      <w:pPr>
        <w:jc w:val="both"/>
        <w:rPr>
          <w:rFonts w:ascii="Times New Roman" w:hAnsi="Times New Roman"/>
          <w:sz w:val="24"/>
          <w:szCs w:val="24"/>
        </w:rPr>
      </w:pPr>
      <w:r w:rsidRPr="00642D89">
        <w:rPr>
          <w:rFonts w:ascii="Times New Roman" w:hAnsi="Times New Roman"/>
          <w:sz w:val="24"/>
          <w:szCs w:val="24"/>
        </w:rPr>
        <w:t xml:space="preserve">CPLP, </w:t>
      </w:r>
      <w:r>
        <w:rPr>
          <w:rFonts w:ascii="Times New Roman" w:hAnsi="Times New Roman"/>
          <w:i/>
          <w:color w:val="000000"/>
          <w:sz w:val="24"/>
          <w:szCs w:val="24"/>
          <w:lang w:eastAsia="pt-PT"/>
        </w:rPr>
        <w:t>Acordo de cooperação entre instituições de e</w:t>
      </w:r>
      <w:r w:rsidRPr="00642D89">
        <w:rPr>
          <w:rFonts w:ascii="Times New Roman" w:hAnsi="Times New Roman"/>
          <w:i/>
          <w:color w:val="000000"/>
          <w:sz w:val="24"/>
          <w:szCs w:val="24"/>
          <w:lang w:eastAsia="pt-PT"/>
        </w:rPr>
        <w:t>nsi</w:t>
      </w:r>
      <w:r>
        <w:rPr>
          <w:rFonts w:ascii="Times New Roman" w:hAnsi="Times New Roman"/>
          <w:i/>
          <w:color w:val="000000"/>
          <w:sz w:val="24"/>
          <w:szCs w:val="24"/>
          <w:lang w:eastAsia="pt-PT"/>
        </w:rPr>
        <w:t>no superior dos países m</w:t>
      </w:r>
      <w:r w:rsidRPr="00642D89">
        <w:rPr>
          <w:rFonts w:ascii="Times New Roman" w:hAnsi="Times New Roman"/>
          <w:i/>
          <w:color w:val="000000"/>
          <w:sz w:val="24"/>
          <w:szCs w:val="24"/>
          <w:lang w:eastAsia="pt-PT"/>
        </w:rPr>
        <w:t>embros da</w:t>
      </w:r>
      <w:r w:rsidRPr="00642D89">
        <w:rPr>
          <w:rFonts w:ascii="Times New Roman" w:hAnsi="Times New Roman"/>
          <w:color w:val="000000"/>
          <w:sz w:val="24"/>
          <w:szCs w:val="24"/>
          <w:lang w:eastAsia="pt-PT"/>
        </w:rPr>
        <w:t xml:space="preserve"> CPLP</w:t>
      </w:r>
      <w:r>
        <w:rPr>
          <w:rFonts w:ascii="Times New Roman" w:hAnsi="Times New Roman"/>
          <w:color w:val="000000"/>
          <w:sz w:val="24"/>
          <w:szCs w:val="24"/>
          <w:lang w:eastAsia="pt-PT"/>
        </w:rPr>
        <w:t>. Disponível em:</w:t>
      </w:r>
      <w:r w:rsidRPr="00642D89">
        <w:rPr>
          <w:rFonts w:ascii="Times New Roman" w:hAnsi="Times New Roman"/>
          <w:sz w:val="24"/>
          <w:szCs w:val="24"/>
        </w:rPr>
        <w:t xml:space="preserve"> </w:t>
      </w:r>
      <w:r w:rsidRPr="00FB2DBF">
        <w:rPr>
          <w:rFonts w:ascii="Times New Roman" w:hAnsi="Times New Roman"/>
          <w:color w:val="1F497D" w:themeColor="text2"/>
          <w:sz w:val="24"/>
          <w:szCs w:val="24"/>
          <w:u w:val="single"/>
        </w:rPr>
        <w:t>http://</w:t>
      </w:r>
      <w:hyperlink r:id="rId4" w:history="1">
        <w:r w:rsidRPr="00FB2DBF">
          <w:rPr>
            <w:rStyle w:val="Hiperligao"/>
            <w:rFonts w:ascii="Times New Roman" w:hAnsi="Times New Roman"/>
            <w:color w:val="1F497D" w:themeColor="text2"/>
            <w:sz w:val="24"/>
            <w:szCs w:val="24"/>
          </w:rPr>
          <w:t>www.cplp.org</w:t>
        </w:r>
      </w:hyperlink>
      <w:r>
        <w:rPr>
          <w:rFonts w:ascii="Times New Roman" w:hAnsi="Times New Roman"/>
          <w:sz w:val="24"/>
          <w:szCs w:val="24"/>
        </w:rPr>
        <w:t>. Acesso em: 24/12/2011.</w:t>
      </w:r>
    </w:p>
    <w:p w:rsidR="00B84B75" w:rsidRPr="00DC7589" w:rsidRDefault="00B84B75" w:rsidP="002C2599">
      <w:pPr>
        <w:jc w:val="both"/>
        <w:rPr>
          <w:rFonts w:ascii="Times New Roman" w:hAnsi="Times New Roman"/>
          <w:sz w:val="24"/>
          <w:szCs w:val="24"/>
        </w:rPr>
      </w:pPr>
      <w:r w:rsidRPr="00642D89">
        <w:rPr>
          <w:rFonts w:ascii="Times New Roman" w:hAnsi="Times New Roman"/>
          <w:sz w:val="24"/>
          <w:szCs w:val="24"/>
        </w:rPr>
        <w:t>Diário da República</w:t>
      </w:r>
      <w:r>
        <w:rPr>
          <w:rFonts w:ascii="Times New Roman" w:hAnsi="Times New Roman"/>
          <w:sz w:val="24"/>
          <w:szCs w:val="24"/>
        </w:rPr>
        <w:t xml:space="preserve"> (Angola)</w:t>
      </w:r>
      <w:r w:rsidRPr="00642D89">
        <w:rPr>
          <w:rFonts w:ascii="Times New Roman" w:hAnsi="Times New Roman"/>
          <w:sz w:val="24"/>
          <w:szCs w:val="24"/>
        </w:rPr>
        <w:t>, quarta-feira, 15 de Abril de 2009, Iª Série,</w:t>
      </w:r>
      <w:r>
        <w:rPr>
          <w:rFonts w:ascii="Times New Roman" w:hAnsi="Times New Roman"/>
          <w:sz w:val="24"/>
          <w:szCs w:val="24"/>
        </w:rPr>
        <w:t xml:space="preserve"> Nº 69 – Resolução nº 29/09 do conselho de m</w:t>
      </w:r>
      <w:r w:rsidRPr="00642D89">
        <w:rPr>
          <w:rFonts w:ascii="Times New Roman" w:hAnsi="Times New Roman"/>
          <w:sz w:val="24"/>
          <w:szCs w:val="24"/>
        </w:rPr>
        <w:t>ini</w:t>
      </w:r>
      <w:r>
        <w:rPr>
          <w:rFonts w:ascii="Times New Roman" w:hAnsi="Times New Roman"/>
          <w:sz w:val="24"/>
          <w:szCs w:val="24"/>
        </w:rPr>
        <w:t>stros relativo ao programa executivo do s</w:t>
      </w:r>
      <w:r w:rsidRPr="00642D89">
        <w:rPr>
          <w:rFonts w:ascii="Times New Roman" w:hAnsi="Times New Roman"/>
          <w:sz w:val="24"/>
          <w:szCs w:val="24"/>
        </w:rPr>
        <w:t xml:space="preserve">etor </w:t>
      </w:r>
      <w:r>
        <w:rPr>
          <w:rFonts w:ascii="Times New Roman" w:hAnsi="Times New Roman"/>
          <w:sz w:val="24"/>
          <w:szCs w:val="24"/>
        </w:rPr>
        <w:t>do ensino s</w:t>
      </w:r>
      <w:r w:rsidRPr="00DC7589">
        <w:rPr>
          <w:rFonts w:ascii="Times New Roman" w:hAnsi="Times New Roman"/>
          <w:sz w:val="24"/>
          <w:szCs w:val="24"/>
        </w:rPr>
        <w:t>uperior para o ano de 2009</w:t>
      </w:r>
      <w:r>
        <w:rPr>
          <w:rFonts w:ascii="Times New Roman" w:hAnsi="Times New Roman"/>
          <w:sz w:val="24"/>
          <w:szCs w:val="24"/>
        </w:rPr>
        <w:t>.</w:t>
      </w:r>
    </w:p>
    <w:p w:rsidR="00B84B75" w:rsidRPr="00DC7589" w:rsidRDefault="00B84B75" w:rsidP="002C2599">
      <w:pPr>
        <w:jc w:val="both"/>
        <w:rPr>
          <w:rFonts w:ascii="Times New Roman" w:hAnsi="Times New Roman"/>
          <w:sz w:val="24"/>
          <w:szCs w:val="24"/>
        </w:rPr>
      </w:pPr>
      <w:r w:rsidRPr="00DC7589">
        <w:rPr>
          <w:rFonts w:ascii="Times New Roman" w:hAnsi="Times New Roman"/>
          <w:sz w:val="24"/>
          <w:szCs w:val="24"/>
        </w:rPr>
        <w:t xml:space="preserve">FERNANDES, T., </w:t>
      </w:r>
      <w:r>
        <w:rPr>
          <w:rFonts w:ascii="Times New Roman" w:hAnsi="Times New Roman"/>
          <w:sz w:val="24"/>
          <w:szCs w:val="24"/>
        </w:rPr>
        <w:t xml:space="preserve">MARTINS, J., RODRIGUES, L. </w:t>
      </w:r>
      <w:r>
        <w:rPr>
          <w:rFonts w:ascii="Times New Roman" w:hAnsi="Times New Roman"/>
          <w:i/>
          <w:sz w:val="24"/>
          <w:szCs w:val="24"/>
        </w:rPr>
        <w:t>Cooperar para o desenvolvimento: memória e e</w:t>
      </w:r>
      <w:r w:rsidRPr="00DC7589">
        <w:rPr>
          <w:rFonts w:ascii="Times New Roman" w:hAnsi="Times New Roman"/>
          <w:i/>
          <w:sz w:val="24"/>
          <w:szCs w:val="24"/>
        </w:rPr>
        <w:t>studos</w:t>
      </w:r>
      <w:r w:rsidRPr="00DC7589">
        <w:rPr>
          <w:rFonts w:ascii="Times New Roman" w:hAnsi="Times New Roman"/>
          <w:sz w:val="24"/>
          <w:szCs w:val="24"/>
        </w:rPr>
        <w:t xml:space="preserve">. </w:t>
      </w:r>
      <w:r>
        <w:rPr>
          <w:rFonts w:ascii="Times New Roman" w:hAnsi="Times New Roman"/>
          <w:sz w:val="24"/>
          <w:szCs w:val="24"/>
        </w:rPr>
        <w:t>Oeiras:</w:t>
      </w:r>
      <w:r w:rsidRPr="00DC7589">
        <w:rPr>
          <w:rFonts w:ascii="Times New Roman" w:hAnsi="Times New Roman"/>
          <w:sz w:val="24"/>
          <w:szCs w:val="24"/>
        </w:rPr>
        <w:t xml:space="preserve"> Cadernos do INA</w:t>
      </w:r>
      <w:r>
        <w:rPr>
          <w:rFonts w:ascii="Times New Roman" w:hAnsi="Times New Roman"/>
          <w:sz w:val="24"/>
          <w:szCs w:val="24"/>
        </w:rPr>
        <w:t>, 24, 2005.</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FERREIRA, R. A força de um passado comum: relações Brasil-PALOP. Lisboa:</w:t>
      </w:r>
      <w:r w:rsidRPr="00642D89">
        <w:rPr>
          <w:rFonts w:ascii="Times New Roman" w:hAnsi="Times New Roman"/>
          <w:sz w:val="24"/>
          <w:szCs w:val="24"/>
        </w:rPr>
        <w:t xml:space="preserve"> </w:t>
      </w:r>
      <w:r w:rsidRPr="007D675F">
        <w:rPr>
          <w:rFonts w:ascii="Times New Roman" w:hAnsi="Times New Roman"/>
          <w:sz w:val="24"/>
          <w:szCs w:val="24"/>
        </w:rPr>
        <w:t>Janus/ Público/UAL</w:t>
      </w:r>
      <w:r>
        <w:rPr>
          <w:rFonts w:ascii="Times New Roman" w:hAnsi="Times New Roman"/>
          <w:sz w:val="24"/>
          <w:szCs w:val="24"/>
        </w:rPr>
        <w:t xml:space="preserve">, </w:t>
      </w:r>
      <w:r w:rsidRPr="00642D89">
        <w:rPr>
          <w:rFonts w:ascii="Times New Roman" w:hAnsi="Times New Roman"/>
          <w:sz w:val="24"/>
          <w:szCs w:val="24"/>
        </w:rPr>
        <w:t>86-87</w:t>
      </w:r>
      <w:r>
        <w:rPr>
          <w:rFonts w:ascii="Times New Roman" w:hAnsi="Times New Roman"/>
          <w:sz w:val="24"/>
          <w:szCs w:val="24"/>
        </w:rPr>
        <w:t>, 2004.</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GPEARI/MCTES. Relatório c</w:t>
      </w:r>
      <w:r w:rsidRPr="00642D89">
        <w:rPr>
          <w:rFonts w:ascii="Times New Roman" w:hAnsi="Times New Roman"/>
          <w:sz w:val="24"/>
          <w:szCs w:val="24"/>
        </w:rPr>
        <w:t>iênci</w:t>
      </w:r>
      <w:r>
        <w:rPr>
          <w:rFonts w:ascii="Times New Roman" w:hAnsi="Times New Roman"/>
          <w:sz w:val="24"/>
          <w:szCs w:val="24"/>
        </w:rPr>
        <w:t>a, tecnologia e ensino s</w:t>
      </w:r>
      <w:r w:rsidRPr="00642D89">
        <w:rPr>
          <w:rFonts w:ascii="Times New Roman" w:hAnsi="Times New Roman"/>
          <w:sz w:val="24"/>
          <w:szCs w:val="24"/>
        </w:rPr>
        <w:t xml:space="preserve">uperior: </w:t>
      </w:r>
      <w:r>
        <w:rPr>
          <w:rFonts w:ascii="Times New Roman" w:hAnsi="Times New Roman"/>
          <w:sz w:val="24"/>
          <w:szCs w:val="24"/>
        </w:rPr>
        <w:t>c</w:t>
      </w:r>
      <w:r w:rsidRPr="00642D89">
        <w:rPr>
          <w:rFonts w:ascii="Times New Roman" w:hAnsi="Times New Roman"/>
          <w:sz w:val="24"/>
          <w:szCs w:val="24"/>
        </w:rPr>
        <w:t xml:space="preserve">ooperação </w:t>
      </w:r>
      <w:r>
        <w:rPr>
          <w:rFonts w:ascii="Times New Roman" w:hAnsi="Times New Roman"/>
          <w:sz w:val="24"/>
          <w:szCs w:val="24"/>
        </w:rPr>
        <w:t>entre Portugal e a CPLP, 2009.</w:t>
      </w:r>
      <w:r w:rsidRPr="00642D89">
        <w:rPr>
          <w:rFonts w:ascii="Times New Roman" w:hAnsi="Times New Roman"/>
          <w:sz w:val="24"/>
          <w:szCs w:val="24"/>
        </w:rPr>
        <w:t xml:space="preserve"> Disponível </w:t>
      </w:r>
      <w:r>
        <w:rPr>
          <w:rFonts w:ascii="Times New Roman" w:hAnsi="Times New Roman"/>
          <w:sz w:val="24"/>
          <w:szCs w:val="24"/>
        </w:rPr>
        <w:t>em:</w:t>
      </w:r>
      <w:r w:rsidRPr="00642D89">
        <w:rPr>
          <w:rFonts w:ascii="Times New Roman" w:hAnsi="Times New Roman"/>
          <w:sz w:val="24"/>
          <w:szCs w:val="24"/>
        </w:rPr>
        <w:t xml:space="preserve"> </w:t>
      </w:r>
      <w:r w:rsidRPr="00FB2DBF">
        <w:rPr>
          <w:rFonts w:ascii="Times New Roman" w:hAnsi="Times New Roman"/>
          <w:color w:val="1F497D" w:themeColor="text2"/>
          <w:sz w:val="24"/>
          <w:szCs w:val="24"/>
          <w:u w:val="single"/>
        </w:rPr>
        <w:t>http://</w:t>
      </w:r>
      <w:hyperlink r:id="rId5" w:history="1">
        <w:r w:rsidRPr="00FB2DBF">
          <w:rPr>
            <w:rStyle w:val="Hiperligao"/>
            <w:rFonts w:ascii="Times New Roman" w:hAnsi="Times New Roman"/>
            <w:color w:val="1F497D" w:themeColor="text2"/>
            <w:sz w:val="24"/>
            <w:szCs w:val="24"/>
          </w:rPr>
          <w:t>www.gpeari.mctes.pt</w:t>
        </w:r>
      </w:hyperlink>
      <w:r>
        <w:rPr>
          <w:rFonts w:ascii="Times New Roman" w:hAnsi="Times New Roman"/>
          <w:sz w:val="24"/>
          <w:szCs w:val="24"/>
        </w:rPr>
        <w:t>. Acesso em: 10/10/2011.</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GUSMÃO</w:t>
      </w:r>
      <w:r w:rsidRPr="00642D89">
        <w:rPr>
          <w:rFonts w:ascii="Times New Roman" w:hAnsi="Times New Roman"/>
          <w:sz w:val="24"/>
          <w:szCs w:val="24"/>
        </w:rPr>
        <w:t>, N</w:t>
      </w:r>
      <w:r>
        <w:rPr>
          <w:rFonts w:ascii="Times New Roman" w:hAnsi="Times New Roman"/>
          <w:sz w:val="24"/>
          <w:szCs w:val="24"/>
        </w:rPr>
        <w:t>. Introdução.</w:t>
      </w:r>
      <w:r w:rsidRPr="00642D89">
        <w:rPr>
          <w:rFonts w:ascii="Times New Roman" w:hAnsi="Times New Roman"/>
          <w:sz w:val="24"/>
          <w:szCs w:val="24"/>
        </w:rPr>
        <w:t xml:space="preserve"> Campinas, </w:t>
      </w:r>
      <w:r w:rsidRPr="002C2599">
        <w:rPr>
          <w:rFonts w:ascii="Times New Roman" w:hAnsi="Times New Roman"/>
          <w:i/>
          <w:sz w:val="24"/>
          <w:szCs w:val="24"/>
        </w:rPr>
        <w:t>Proposições</w:t>
      </w:r>
      <w:r w:rsidRPr="00642D89">
        <w:rPr>
          <w:rFonts w:ascii="Times New Roman" w:hAnsi="Times New Roman"/>
          <w:sz w:val="24"/>
          <w:szCs w:val="24"/>
        </w:rPr>
        <w:t>, 20 (1)</w:t>
      </w:r>
      <w:r>
        <w:rPr>
          <w:rFonts w:ascii="Times New Roman" w:hAnsi="Times New Roman"/>
          <w:sz w:val="24"/>
          <w:szCs w:val="24"/>
        </w:rPr>
        <w:t xml:space="preserve"> (58): </w:t>
      </w:r>
      <w:r w:rsidRPr="00642D89">
        <w:rPr>
          <w:rFonts w:ascii="Times New Roman" w:hAnsi="Times New Roman"/>
          <w:sz w:val="24"/>
          <w:szCs w:val="24"/>
        </w:rPr>
        <w:t>13-21</w:t>
      </w:r>
      <w:r>
        <w:rPr>
          <w:rFonts w:ascii="Times New Roman" w:hAnsi="Times New Roman"/>
          <w:sz w:val="24"/>
          <w:szCs w:val="24"/>
        </w:rPr>
        <w:t>, 2009.</w:t>
      </w:r>
    </w:p>
    <w:p w:rsidR="00B84B75" w:rsidRPr="00642D89" w:rsidRDefault="00B84B75" w:rsidP="002C2599">
      <w:pPr>
        <w:jc w:val="both"/>
        <w:outlineLvl w:val="0"/>
        <w:rPr>
          <w:rFonts w:ascii="Times New Roman" w:hAnsi="Times New Roman"/>
          <w:sz w:val="24"/>
          <w:szCs w:val="24"/>
        </w:rPr>
      </w:pPr>
      <w:r w:rsidRPr="00642D89">
        <w:rPr>
          <w:rFonts w:ascii="Times New Roman" w:hAnsi="Times New Roman"/>
          <w:i/>
          <w:sz w:val="24"/>
          <w:szCs w:val="24"/>
        </w:rPr>
        <w:t>INABE</w:t>
      </w:r>
      <w:r>
        <w:rPr>
          <w:rFonts w:ascii="Times New Roman" w:hAnsi="Times New Roman"/>
          <w:i/>
          <w:sz w:val="24"/>
          <w:szCs w:val="24"/>
        </w:rPr>
        <w:t>.</w:t>
      </w:r>
      <w:r w:rsidRPr="00642D89">
        <w:rPr>
          <w:rFonts w:ascii="Times New Roman" w:hAnsi="Times New Roman"/>
          <w:i/>
          <w:sz w:val="24"/>
          <w:szCs w:val="24"/>
        </w:rPr>
        <w:t xml:space="preserve"> Inf</w:t>
      </w:r>
      <w:r>
        <w:rPr>
          <w:rFonts w:ascii="Times New Roman" w:hAnsi="Times New Roman"/>
          <w:i/>
          <w:sz w:val="24"/>
          <w:szCs w:val="24"/>
        </w:rPr>
        <w:t xml:space="preserve">ormações sobre bolsas de estudo. </w:t>
      </w:r>
      <w:r w:rsidRPr="00493547">
        <w:rPr>
          <w:rFonts w:ascii="Times New Roman" w:hAnsi="Times New Roman"/>
          <w:sz w:val="24"/>
          <w:szCs w:val="24"/>
        </w:rPr>
        <w:t>Luanda</w:t>
      </w:r>
      <w:r>
        <w:rPr>
          <w:rFonts w:ascii="Times New Roman" w:hAnsi="Times New Roman"/>
          <w:i/>
          <w:sz w:val="24"/>
          <w:szCs w:val="24"/>
        </w:rPr>
        <w:t>:</w:t>
      </w:r>
      <w:r w:rsidRPr="00642D89">
        <w:rPr>
          <w:rFonts w:ascii="Times New Roman" w:hAnsi="Times New Roman"/>
          <w:i/>
          <w:sz w:val="24"/>
          <w:szCs w:val="24"/>
        </w:rPr>
        <w:t xml:space="preserve"> </w:t>
      </w:r>
      <w:r w:rsidRPr="00642D89">
        <w:rPr>
          <w:rFonts w:ascii="Times New Roman" w:hAnsi="Times New Roman"/>
          <w:sz w:val="24"/>
          <w:szCs w:val="24"/>
        </w:rPr>
        <w:t>Instituto Nacional de Bolsas de Estudo</w:t>
      </w:r>
      <w:r>
        <w:rPr>
          <w:rFonts w:ascii="Times New Roman" w:hAnsi="Times New Roman"/>
          <w:sz w:val="24"/>
          <w:szCs w:val="24"/>
        </w:rPr>
        <w:t>, 2011.</w:t>
      </w:r>
    </w:p>
    <w:p w:rsidR="00B84B75" w:rsidRPr="00F850C1" w:rsidRDefault="00B84B75" w:rsidP="002C2599">
      <w:pPr>
        <w:jc w:val="both"/>
        <w:rPr>
          <w:rFonts w:ascii="Times New Roman" w:hAnsi="Times New Roman"/>
        </w:rPr>
      </w:pPr>
      <w:r w:rsidRPr="00F850C1">
        <w:rPr>
          <w:rFonts w:ascii="Times New Roman" w:hAnsi="Times New Roman"/>
          <w:sz w:val="24"/>
          <w:szCs w:val="24"/>
        </w:rPr>
        <w:t xml:space="preserve">INSTITUTO PORTUGUÊS DE APOIO AO DESENVOLVIMENTO (IPAD). </w:t>
      </w:r>
      <w:r>
        <w:rPr>
          <w:rFonts w:ascii="Times New Roman" w:hAnsi="Times New Roman"/>
          <w:i/>
        </w:rPr>
        <w:t>PIC: Programa indicativo de c</w:t>
      </w:r>
      <w:r w:rsidRPr="00F850C1">
        <w:rPr>
          <w:rFonts w:ascii="Times New Roman" w:hAnsi="Times New Roman"/>
          <w:i/>
        </w:rPr>
        <w:t>ooperação Portugal Angola (2007 – 2010)</w:t>
      </w:r>
      <w:r>
        <w:rPr>
          <w:rFonts w:ascii="Times New Roman" w:hAnsi="Times New Roman"/>
        </w:rPr>
        <w:t>. Lisboa: IPAD.</w:t>
      </w:r>
      <w:r w:rsidRPr="00F850C1">
        <w:rPr>
          <w:rFonts w:ascii="Times New Roman" w:hAnsi="Times New Roman"/>
        </w:rPr>
        <w:t xml:space="preserve"> Disponível em: </w:t>
      </w:r>
      <w:r w:rsidRPr="000C50D3">
        <w:rPr>
          <w:rFonts w:ascii="Times New Roman" w:hAnsi="Times New Roman"/>
          <w:color w:val="1F497D" w:themeColor="text2"/>
          <w:u w:val="single"/>
        </w:rPr>
        <w:t>http://</w:t>
      </w:r>
      <w:hyperlink r:id="rId6" w:history="1">
        <w:r w:rsidRPr="000C50D3">
          <w:rPr>
            <w:rStyle w:val="Hiperligao"/>
            <w:rFonts w:ascii="Times New Roman" w:hAnsi="Times New Roman"/>
            <w:color w:val="1F497D" w:themeColor="text2"/>
          </w:rPr>
          <w:t>www.ipad.pt</w:t>
        </w:r>
      </w:hyperlink>
      <w:r w:rsidRPr="00F850C1">
        <w:rPr>
          <w:rFonts w:ascii="Times New Roman" w:hAnsi="Times New Roman"/>
        </w:rPr>
        <w:t>.</w:t>
      </w:r>
      <w:r>
        <w:rPr>
          <w:rFonts w:ascii="Times New Roman" w:hAnsi="Times New Roman"/>
        </w:rPr>
        <w:t xml:space="preserve"> Acesso em: (Acedido a 12/06/12).</w:t>
      </w:r>
    </w:p>
    <w:p w:rsidR="00B84B75" w:rsidRPr="00092459" w:rsidRDefault="00B84B75" w:rsidP="002C2599">
      <w:pPr>
        <w:jc w:val="both"/>
        <w:rPr>
          <w:rFonts w:ascii="Times New Roman" w:hAnsi="Times New Roman"/>
          <w:sz w:val="24"/>
          <w:szCs w:val="24"/>
        </w:rPr>
      </w:pPr>
      <w:r>
        <w:rPr>
          <w:rFonts w:ascii="Times New Roman" w:hAnsi="Times New Roman"/>
          <w:sz w:val="24"/>
          <w:szCs w:val="24"/>
        </w:rPr>
        <w:t xml:space="preserve">LARA, L. </w:t>
      </w:r>
      <w:r>
        <w:rPr>
          <w:rFonts w:ascii="Times New Roman" w:hAnsi="Times New Roman"/>
          <w:i/>
          <w:sz w:val="24"/>
          <w:szCs w:val="24"/>
        </w:rPr>
        <w:t>Documentos e comentários para a h</w:t>
      </w:r>
      <w:r w:rsidRPr="00092459">
        <w:rPr>
          <w:rFonts w:ascii="Times New Roman" w:hAnsi="Times New Roman"/>
          <w:i/>
          <w:sz w:val="24"/>
          <w:szCs w:val="24"/>
        </w:rPr>
        <w:t>istória do MPLA (até Fevereiro de 1961</w:t>
      </w:r>
      <w:r w:rsidRPr="00092459">
        <w:rPr>
          <w:rFonts w:ascii="Times New Roman" w:hAnsi="Times New Roman"/>
          <w:sz w:val="24"/>
          <w:szCs w:val="24"/>
        </w:rPr>
        <w:t xml:space="preserve">), </w:t>
      </w:r>
      <w:r>
        <w:rPr>
          <w:rFonts w:ascii="Times New Roman" w:hAnsi="Times New Roman"/>
          <w:sz w:val="24"/>
          <w:szCs w:val="24"/>
        </w:rPr>
        <w:t>Lisboa: Publicações Dom Quixote, 1999.</w:t>
      </w:r>
    </w:p>
    <w:p w:rsidR="00B84B75" w:rsidRPr="00642D89" w:rsidRDefault="00B84B75" w:rsidP="002C2599">
      <w:pPr>
        <w:spacing w:line="360" w:lineRule="auto"/>
        <w:jc w:val="both"/>
        <w:outlineLvl w:val="0"/>
        <w:rPr>
          <w:rFonts w:ascii="Times New Roman" w:hAnsi="Times New Roman"/>
          <w:sz w:val="24"/>
          <w:szCs w:val="24"/>
        </w:rPr>
      </w:pPr>
      <w:r>
        <w:rPr>
          <w:rFonts w:ascii="Times New Roman" w:hAnsi="Times New Roman"/>
          <w:sz w:val="24"/>
          <w:szCs w:val="24"/>
        </w:rPr>
        <w:t>LOPES, C.</w:t>
      </w:r>
      <w:r w:rsidRPr="00642D89">
        <w:rPr>
          <w:rFonts w:ascii="Times New Roman" w:hAnsi="Times New Roman"/>
          <w:sz w:val="24"/>
          <w:szCs w:val="24"/>
        </w:rPr>
        <w:t xml:space="preserve"> </w:t>
      </w:r>
      <w:r w:rsidRPr="00642D89">
        <w:rPr>
          <w:rFonts w:ascii="Times New Roman" w:hAnsi="Times New Roman"/>
          <w:i/>
          <w:sz w:val="24"/>
          <w:szCs w:val="24"/>
        </w:rPr>
        <w:t>Candon</w:t>
      </w:r>
      <w:r>
        <w:rPr>
          <w:rFonts w:ascii="Times New Roman" w:hAnsi="Times New Roman"/>
          <w:i/>
          <w:sz w:val="24"/>
          <w:szCs w:val="24"/>
        </w:rPr>
        <w:t>gueiros &amp; kupapatas: a</w:t>
      </w:r>
      <w:r w:rsidRPr="00642D89">
        <w:rPr>
          <w:rFonts w:ascii="Times New Roman" w:hAnsi="Times New Roman"/>
          <w:i/>
          <w:sz w:val="24"/>
          <w:szCs w:val="24"/>
        </w:rPr>
        <w:t>cumulação</w:t>
      </w:r>
      <w:r>
        <w:rPr>
          <w:rFonts w:ascii="Times New Roman" w:hAnsi="Times New Roman"/>
          <w:i/>
          <w:sz w:val="24"/>
          <w:szCs w:val="24"/>
        </w:rPr>
        <w:t>, risco e sobrevivência na e</w:t>
      </w:r>
      <w:r w:rsidRPr="00642D89">
        <w:rPr>
          <w:rFonts w:ascii="Times New Roman" w:hAnsi="Times New Roman"/>
          <w:i/>
          <w:sz w:val="24"/>
          <w:szCs w:val="24"/>
        </w:rPr>
        <w:t>cono</w:t>
      </w:r>
      <w:r>
        <w:rPr>
          <w:rFonts w:ascii="Times New Roman" w:hAnsi="Times New Roman"/>
          <w:i/>
          <w:sz w:val="24"/>
          <w:szCs w:val="24"/>
        </w:rPr>
        <w:t>mia informal em A</w:t>
      </w:r>
      <w:r w:rsidRPr="00642D89">
        <w:rPr>
          <w:rFonts w:ascii="Times New Roman" w:hAnsi="Times New Roman"/>
          <w:i/>
          <w:sz w:val="24"/>
          <w:szCs w:val="24"/>
        </w:rPr>
        <w:t>ngola</w:t>
      </w:r>
      <w:r>
        <w:rPr>
          <w:rFonts w:ascii="Times New Roman" w:hAnsi="Times New Roman"/>
          <w:sz w:val="24"/>
          <w:szCs w:val="24"/>
        </w:rPr>
        <w:t>. Lisboa:</w:t>
      </w:r>
      <w:r w:rsidRPr="00642D89">
        <w:rPr>
          <w:rFonts w:ascii="Times New Roman" w:hAnsi="Times New Roman"/>
          <w:sz w:val="24"/>
          <w:szCs w:val="24"/>
        </w:rPr>
        <w:t xml:space="preserve"> Principia</w:t>
      </w:r>
      <w:r>
        <w:rPr>
          <w:rFonts w:ascii="Times New Roman" w:hAnsi="Times New Roman"/>
          <w:sz w:val="24"/>
          <w:szCs w:val="24"/>
        </w:rPr>
        <w:t>, 2011.</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MARCHUETA, M. R.</w:t>
      </w:r>
      <w:r w:rsidRPr="00642D89">
        <w:rPr>
          <w:rFonts w:ascii="Times New Roman" w:hAnsi="Times New Roman"/>
          <w:sz w:val="24"/>
          <w:szCs w:val="24"/>
        </w:rPr>
        <w:t xml:space="preserve"> </w:t>
      </w:r>
      <w:r>
        <w:rPr>
          <w:rFonts w:ascii="Times New Roman" w:hAnsi="Times New Roman"/>
          <w:i/>
          <w:sz w:val="24"/>
          <w:szCs w:val="24"/>
        </w:rPr>
        <w:t>A CPLP e seu e</w:t>
      </w:r>
      <w:r w:rsidRPr="00642D89">
        <w:rPr>
          <w:rFonts w:ascii="Times New Roman" w:hAnsi="Times New Roman"/>
          <w:i/>
          <w:sz w:val="24"/>
          <w:szCs w:val="24"/>
        </w:rPr>
        <w:t>nquadramento</w:t>
      </w:r>
      <w:r>
        <w:rPr>
          <w:rFonts w:ascii="Times New Roman" w:hAnsi="Times New Roman"/>
          <w:sz w:val="24"/>
          <w:szCs w:val="24"/>
        </w:rPr>
        <w:t>. Lisboa:</w:t>
      </w:r>
      <w:r w:rsidRPr="00642D89">
        <w:rPr>
          <w:rFonts w:ascii="Times New Roman" w:hAnsi="Times New Roman"/>
          <w:sz w:val="24"/>
          <w:szCs w:val="24"/>
        </w:rPr>
        <w:t xml:space="preserve"> Instituto Diplomático Ministério dos Negócios Estrangeiros</w:t>
      </w:r>
      <w:r>
        <w:rPr>
          <w:rFonts w:ascii="Times New Roman" w:hAnsi="Times New Roman"/>
          <w:sz w:val="24"/>
          <w:szCs w:val="24"/>
        </w:rPr>
        <w:t>, 2003.</w:t>
      </w:r>
    </w:p>
    <w:p w:rsidR="00B84B75" w:rsidRPr="00642D89" w:rsidRDefault="00B84B75" w:rsidP="002C2599">
      <w:pPr>
        <w:jc w:val="both"/>
        <w:outlineLvl w:val="0"/>
        <w:rPr>
          <w:rFonts w:ascii="Times New Roman" w:hAnsi="Times New Roman"/>
          <w:sz w:val="24"/>
          <w:szCs w:val="24"/>
        </w:rPr>
      </w:pPr>
      <w:r>
        <w:rPr>
          <w:rFonts w:ascii="Times New Roman" w:hAnsi="Times New Roman"/>
          <w:sz w:val="24"/>
          <w:szCs w:val="24"/>
        </w:rPr>
        <w:t>MICS.</w:t>
      </w:r>
      <w:r w:rsidRPr="00642D89">
        <w:rPr>
          <w:rFonts w:ascii="Times New Roman" w:hAnsi="Times New Roman"/>
          <w:sz w:val="24"/>
          <w:szCs w:val="24"/>
        </w:rPr>
        <w:t xml:space="preserve"> </w:t>
      </w:r>
      <w:r>
        <w:rPr>
          <w:rFonts w:ascii="Times New Roman" w:hAnsi="Times New Roman"/>
          <w:i/>
          <w:sz w:val="24"/>
          <w:szCs w:val="24"/>
        </w:rPr>
        <w:t>Inquérito de indicadores m</w:t>
      </w:r>
      <w:r w:rsidRPr="00642D89">
        <w:rPr>
          <w:rFonts w:ascii="Times New Roman" w:hAnsi="Times New Roman"/>
          <w:i/>
          <w:sz w:val="24"/>
          <w:szCs w:val="24"/>
        </w:rPr>
        <w:t>últiplos</w:t>
      </w:r>
      <w:r>
        <w:rPr>
          <w:rFonts w:ascii="Times New Roman" w:hAnsi="Times New Roman"/>
          <w:sz w:val="24"/>
          <w:szCs w:val="24"/>
        </w:rPr>
        <w:t>. Luanda:</w:t>
      </w:r>
      <w:r w:rsidRPr="00642D89">
        <w:rPr>
          <w:rFonts w:ascii="Times New Roman" w:hAnsi="Times New Roman"/>
          <w:sz w:val="24"/>
          <w:szCs w:val="24"/>
        </w:rPr>
        <w:t xml:space="preserve"> INE &amp; UNICEF</w:t>
      </w:r>
      <w:r>
        <w:rPr>
          <w:rFonts w:ascii="Times New Roman" w:hAnsi="Times New Roman"/>
          <w:sz w:val="24"/>
          <w:szCs w:val="24"/>
        </w:rPr>
        <w:t>, 2003.</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 xml:space="preserve">MINISTÉRIO DAS FINANÇAS DE ANGOLA (MINFIN). Disponível em: </w:t>
      </w:r>
      <w:r w:rsidRPr="00BB038C">
        <w:rPr>
          <w:rFonts w:ascii="Times New Roman" w:hAnsi="Times New Roman"/>
          <w:color w:val="1F497D" w:themeColor="text2"/>
          <w:sz w:val="24"/>
          <w:szCs w:val="24"/>
          <w:u w:val="single"/>
        </w:rPr>
        <w:t>http://</w:t>
      </w:r>
      <w:hyperlink r:id="rId7" w:history="1">
        <w:r w:rsidRPr="00BB038C">
          <w:rPr>
            <w:rStyle w:val="Hiperligao"/>
            <w:rFonts w:ascii="Times New Roman" w:hAnsi="Times New Roman"/>
            <w:color w:val="1F497D" w:themeColor="text2"/>
            <w:sz w:val="24"/>
            <w:szCs w:val="24"/>
          </w:rPr>
          <w:t>www.minfin.gov.ao</w:t>
        </w:r>
      </w:hyperlink>
      <w:r w:rsidRPr="00BB038C">
        <w:rPr>
          <w:rFonts w:ascii="Times New Roman" w:hAnsi="Times New Roman"/>
          <w:color w:val="1F497D" w:themeColor="text2"/>
          <w:sz w:val="24"/>
          <w:szCs w:val="24"/>
        </w:rPr>
        <w:t>.</w:t>
      </w:r>
      <w:r>
        <w:rPr>
          <w:rFonts w:ascii="Times New Roman" w:hAnsi="Times New Roman"/>
          <w:sz w:val="24"/>
          <w:szCs w:val="24"/>
        </w:rPr>
        <w:t xml:space="preserve"> Acesso em 23/12/2011.</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MONTEIRO</w:t>
      </w:r>
      <w:r w:rsidRPr="00642D89">
        <w:rPr>
          <w:rFonts w:ascii="Times New Roman" w:hAnsi="Times New Roman"/>
          <w:sz w:val="24"/>
          <w:szCs w:val="24"/>
        </w:rPr>
        <w:t>, R</w:t>
      </w:r>
      <w:r>
        <w:rPr>
          <w:rFonts w:ascii="Times New Roman" w:hAnsi="Times New Roman"/>
          <w:sz w:val="24"/>
          <w:szCs w:val="24"/>
        </w:rPr>
        <w:t>. L.</w:t>
      </w:r>
      <w:r w:rsidRPr="00642D89">
        <w:rPr>
          <w:rFonts w:ascii="Times New Roman" w:hAnsi="Times New Roman"/>
          <w:sz w:val="24"/>
          <w:szCs w:val="24"/>
        </w:rPr>
        <w:t xml:space="preserve"> </w:t>
      </w:r>
      <w:r w:rsidRPr="00642D89">
        <w:rPr>
          <w:rFonts w:ascii="Times New Roman" w:hAnsi="Times New Roman"/>
          <w:i/>
          <w:sz w:val="24"/>
          <w:szCs w:val="24"/>
        </w:rPr>
        <w:t xml:space="preserve">A África na </w:t>
      </w:r>
      <w:r>
        <w:rPr>
          <w:rFonts w:ascii="Times New Roman" w:hAnsi="Times New Roman"/>
          <w:i/>
          <w:sz w:val="24"/>
          <w:szCs w:val="24"/>
        </w:rPr>
        <w:t>política de cooperação europeia.</w:t>
      </w:r>
      <w:r w:rsidRPr="00642D89">
        <w:rPr>
          <w:rFonts w:ascii="Times New Roman" w:hAnsi="Times New Roman"/>
          <w:i/>
          <w:sz w:val="24"/>
          <w:szCs w:val="24"/>
        </w:rPr>
        <w:t xml:space="preserve"> </w:t>
      </w:r>
      <w:r>
        <w:rPr>
          <w:rFonts w:ascii="Times New Roman" w:hAnsi="Times New Roman"/>
          <w:sz w:val="24"/>
          <w:szCs w:val="24"/>
        </w:rPr>
        <w:t>Lisboa:</w:t>
      </w:r>
      <w:r w:rsidRPr="00642D89">
        <w:rPr>
          <w:rFonts w:ascii="Times New Roman" w:hAnsi="Times New Roman"/>
          <w:sz w:val="24"/>
          <w:szCs w:val="24"/>
        </w:rPr>
        <w:t xml:space="preserve"> ISCSP</w:t>
      </w:r>
      <w:r>
        <w:rPr>
          <w:rFonts w:ascii="Times New Roman" w:hAnsi="Times New Roman"/>
          <w:sz w:val="24"/>
          <w:szCs w:val="24"/>
        </w:rPr>
        <w:t>, 2001.</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PALMA</w:t>
      </w:r>
      <w:r w:rsidRPr="00642D89">
        <w:rPr>
          <w:rFonts w:ascii="Times New Roman" w:hAnsi="Times New Roman"/>
          <w:sz w:val="24"/>
          <w:szCs w:val="24"/>
        </w:rPr>
        <w:t xml:space="preserve">, </w:t>
      </w:r>
      <w:r>
        <w:rPr>
          <w:rFonts w:ascii="Times New Roman" w:hAnsi="Times New Roman"/>
          <w:sz w:val="24"/>
          <w:szCs w:val="24"/>
        </w:rPr>
        <w:t>E.</w:t>
      </w:r>
      <w:r w:rsidRPr="00642D89">
        <w:rPr>
          <w:rFonts w:ascii="Times New Roman" w:hAnsi="Times New Roman"/>
          <w:sz w:val="24"/>
          <w:szCs w:val="24"/>
        </w:rPr>
        <w:t xml:space="preserve"> e </w:t>
      </w:r>
      <w:r>
        <w:rPr>
          <w:rFonts w:ascii="Times New Roman" w:hAnsi="Times New Roman"/>
          <w:sz w:val="24"/>
          <w:szCs w:val="24"/>
        </w:rPr>
        <w:t>PESSOA, I. Cooperação universitária (I). Lisboa:</w:t>
      </w:r>
      <w:r w:rsidRPr="00642D89">
        <w:rPr>
          <w:rFonts w:ascii="Times New Roman" w:hAnsi="Times New Roman"/>
          <w:sz w:val="24"/>
          <w:szCs w:val="24"/>
        </w:rPr>
        <w:t xml:space="preserve"> </w:t>
      </w:r>
      <w:r>
        <w:rPr>
          <w:rFonts w:ascii="Times New Roman" w:hAnsi="Times New Roman"/>
          <w:i/>
          <w:sz w:val="24"/>
          <w:szCs w:val="24"/>
        </w:rPr>
        <w:t>Janus/</w:t>
      </w:r>
      <w:r w:rsidRPr="00642D89">
        <w:rPr>
          <w:rFonts w:ascii="Times New Roman" w:hAnsi="Times New Roman"/>
          <w:i/>
          <w:sz w:val="24"/>
          <w:szCs w:val="24"/>
        </w:rPr>
        <w:t>Público/UAL</w:t>
      </w:r>
      <w:r>
        <w:rPr>
          <w:rFonts w:ascii="Times New Roman" w:hAnsi="Times New Roman"/>
          <w:sz w:val="24"/>
          <w:szCs w:val="24"/>
        </w:rPr>
        <w:t>: 102-</w:t>
      </w:r>
      <w:r w:rsidRPr="00642D89">
        <w:rPr>
          <w:rFonts w:ascii="Times New Roman" w:hAnsi="Times New Roman"/>
          <w:sz w:val="24"/>
          <w:szCs w:val="24"/>
        </w:rPr>
        <w:t>103</w:t>
      </w:r>
      <w:r>
        <w:rPr>
          <w:rFonts w:ascii="Times New Roman" w:hAnsi="Times New Roman"/>
          <w:sz w:val="24"/>
          <w:szCs w:val="24"/>
        </w:rPr>
        <w:t>, 2004.</w:t>
      </w:r>
    </w:p>
    <w:p w:rsidR="00B84B75" w:rsidRPr="00642D89" w:rsidRDefault="00B84B75" w:rsidP="002C2599">
      <w:pPr>
        <w:jc w:val="both"/>
        <w:outlineLvl w:val="0"/>
        <w:rPr>
          <w:rFonts w:ascii="Times New Roman" w:hAnsi="Times New Roman"/>
          <w:sz w:val="24"/>
          <w:szCs w:val="24"/>
        </w:rPr>
      </w:pPr>
      <w:r w:rsidRPr="00642D89">
        <w:rPr>
          <w:rFonts w:ascii="Times New Roman" w:hAnsi="Times New Roman"/>
          <w:sz w:val="24"/>
          <w:szCs w:val="24"/>
        </w:rPr>
        <w:t>PNUD –</w:t>
      </w:r>
      <w:r>
        <w:rPr>
          <w:rFonts w:ascii="Times New Roman" w:hAnsi="Times New Roman"/>
          <w:i/>
          <w:sz w:val="24"/>
          <w:szCs w:val="24"/>
        </w:rPr>
        <w:t xml:space="preserve"> Angola. Os desafios pós-g</w:t>
      </w:r>
      <w:r w:rsidRPr="00642D89">
        <w:rPr>
          <w:rFonts w:ascii="Times New Roman" w:hAnsi="Times New Roman"/>
          <w:i/>
          <w:sz w:val="24"/>
          <w:szCs w:val="24"/>
        </w:rPr>
        <w:t>uerra</w:t>
      </w:r>
      <w:r>
        <w:rPr>
          <w:rFonts w:ascii="Times New Roman" w:hAnsi="Times New Roman"/>
          <w:i/>
          <w:sz w:val="24"/>
          <w:szCs w:val="24"/>
        </w:rPr>
        <w:t>.</w:t>
      </w:r>
      <w:r>
        <w:rPr>
          <w:rFonts w:ascii="Times New Roman" w:hAnsi="Times New Roman"/>
          <w:sz w:val="24"/>
          <w:szCs w:val="24"/>
        </w:rPr>
        <w:t xml:space="preserve"> Luanda:</w:t>
      </w:r>
      <w:r w:rsidRPr="00642D89">
        <w:rPr>
          <w:rFonts w:ascii="Times New Roman" w:hAnsi="Times New Roman"/>
          <w:sz w:val="24"/>
          <w:szCs w:val="24"/>
        </w:rPr>
        <w:t xml:space="preserve"> Nações Unidas</w:t>
      </w:r>
      <w:r>
        <w:rPr>
          <w:rFonts w:ascii="Times New Roman" w:hAnsi="Times New Roman"/>
          <w:sz w:val="24"/>
          <w:szCs w:val="24"/>
        </w:rPr>
        <w:t>, 2002.</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 xml:space="preserve">PNUD. </w:t>
      </w:r>
      <w:r w:rsidRPr="00642D89">
        <w:rPr>
          <w:rFonts w:ascii="Times New Roman" w:hAnsi="Times New Roman"/>
          <w:sz w:val="24"/>
          <w:szCs w:val="24"/>
        </w:rPr>
        <w:t>Declaração do Milénio</w:t>
      </w:r>
      <w:r>
        <w:rPr>
          <w:rFonts w:ascii="Times New Roman" w:hAnsi="Times New Roman"/>
          <w:sz w:val="24"/>
          <w:szCs w:val="24"/>
        </w:rPr>
        <w:t>, 2000. D</w:t>
      </w:r>
      <w:r w:rsidRPr="00642D89">
        <w:rPr>
          <w:rFonts w:ascii="Times New Roman" w:hAnsi="Times New Roman"/>
          <w:sz w:val="24"/>
          <w:szCs w:val="24"/>
        </w:rPr>
        <w:t>isponível em</w:t>
      </w:r>
      <w:r>
        <w:rPr>
          <w:rFonts w:ascii="Times New Roman" w:hAnsi="Times New Roman"/>
          <w:sz w:val="24"/>
          <w:szCs w:val="24"/>
        </w:rPr>
        <w:t xml:space="preserve">: </w:t>
      </w:r>
      <w:r w:rsidRPr="00FB2DBF">
        <w:rPr>
          <w:rFonts w:ascii="Times New Roman" w:hAnsi="Times New Roman"/>
          <w:color w:val="1F497D" w:themeColor="text2"/>
          <w:sz w:val="24"/>
          <w:szCs w:val="24"/>
          <w:u w:val="single"/>
        </w:rPr>
        <w:t>http://</w:t>
      </w:r>
      <w:hyperlink r:id="rId8" w:history="1">
        <w:r w:rsidRPr="00FB2DBF">
          <w:rPr>
            <w:rStyle w:val="Hiperligao"/>
            <w:rFonts w:ascii="Times New Roman" w:hAnsi="Times New Roman"/>
            <w:color w:val="1F497D" w:themeColor="text2"/>
            <w:sz w:val="24"/>
            <w:szCs w:val="24"/>
          </w:rPr>
          <w:t>www.un.org</w:t>
        </w:r>
      </w:hyperlink>
      <w:r>
        <w:rPr>
          <w:rFonts w:ascii="Times New Roman" w:hAnsi="Times New Roman"/>
          <w:sz w:val="24"/>
          <w:szCs w:val="24"/>
        </w:rPr>
        <w:t>. Acesso em: 1/12/2011.</w:t>
      </w:r>
    </w:p>
    <w:p w:rsidR="00B84B75" w:rsidRPr="00642D89" w:rsidRDefault="00B84B75" w:rsidP="002C2599">
      <w:pPr>
        <w:jc w:val="both"/>
        <w:outlineLvl w:val="0"/>
        <w:rPr>
          <w:rFonts w:ascii="Times New Roman" w:hAnsi="Times New Roman"/>
          <w:sz w:val="24"/>
          <w:szCs w:val="24"/>
        </w:rPr>
      </w:pPr>
      <w:r w:rsidRPr="00642D89">
        <w:rPr>
          <w:rFonts w:ascii="Times New Roman" w:hAnsi="Times New Roman"/>
          <w:sz w:val="24"/>
          <w:szCs w:val="24"/>
        </w:rPr>
        <w:t>PNUD</w:t>
      </w:r>
      <w:r>
        <w:rPr>
          <w:rFonts w:ascii="Times New Roman" w:hAnsi="Times New Roman"/>
          <w:sz w:val="24"/>
          <w:szCs w:val="24"/>
        </w:rPr>
        <w:t>. Relatório do desenvolvimento h</w:t>
      </w:r>
      <w:r w:rsidRPr="00642D89">
        <w:rPr>
          <w:rFonts w:ascii="Times New Roman" w:hAnsi="Times New Roman"/>
          <w:sz w:val="24"/>
          <w:szCs w:val="24"/>
        </w:rPr>
        <w:t>umano</w:t>
      </w:r>
      <w:r>
        <w:rPr>
          <w:rFonts w:ascii="Times New Roman" w:hAnsi="Times New Roman"/>
          <w:sz w:val="24"/>
          <w:szCs w:val="24"/>
        </w:rPr>
        <w:t>, 2005.</w:t>
      </w:r>
    </w:p>
    <w:p w:rsidR="00B84B75" w:rsidRPr="00642D89" w:rsidRDefault="00B84B75" w:rsidP="002C2599">
      <w:pPr>
        <w:jc w:val="both"/>
        <w:rPr>
          <w:rFonts w:ascii="Times New Roman" w:hAnsi="Times New Roman"/>
          <w:sz w:val="24"/>
          <w:szCs w:val="24"/>
        </w:rPr>
      </w:pPr>
      <w:r>
        <w:rPr>
          <w:rFonts w:ascii="Times New Roman" w:hAnsi="Times New Roman"/>
          <w:sz w:val="24"/>
          <w:szCs w:val="24"/>
        </w:rPr>
        <w:t xml:space="preserve">VINYALS, L. </w:t>
      </w:r>
      <w:r>
        <w:rPr>
          <w:rFonts w:ascii="Times New Roman" w:hAnsi="Times New Roman"/>
          <w:i/>
          <w:sz w:val="24"/>
          <w:szCs w:val="24"/>
        </w:rPr>
        <w:t>O Financiamento p</w:t>
      </w:r>
      <w:r w:rsidRPr="00642D89">
        <w:rPr>
          <w:rFonts w:ascii="Times New Roman" w:hAnsi="Times New Roman"/>
          <w:i/>
          <w:sz w:val="24"/>
          <w:szCs w:val="24"/>
        </w:rPr>
        <w:t xml:space="preserve">úblico dos </w:t>
      </w:r>
      <w:r>
        <w:rPr>
          <w:rFonts w:ascii="Times New Roman" w:hAnsi="Times New Roman"/>
          <w:i/>
          <w:sz w:val="24"/>
          <w:szCs w:val="24"/>
        </w:rPr>
        <w:t>s</w:t>
      </w:r>
      <w:r w:rsidRPr="00642D89">
        <w:rPr>
          <w:rFonts w:ascii="Times New Roman" w:hAnsi="Times New Roman"/>
          <w:i/>
          <w:sz w:val="24"/>
          <w:szCs w:val="24"/>
        </w:rPr>
        <w:t>ociais em Angola</w:t>
      </w:r>
      <w:r>
        <w:rPr>
          <w:rFonts w:ascii="Times New Roman" w:hAnsi="Times New Roman"/>
          <w:sz w:val="24"/>
          <w:szCs w:val="24"/>
        </w:rPr>
        <w:t xml:space="preserve">. Cascais: </w:t>
      </w:r>
      <w:r w:rsidRPr="00642D89">
        <w:rPr>
          <w:rFonts w:ascii="Times New Roman" w:hAnsi="Times New Roman"/>
          <w:sz w:val="24"/>
          <w:szCs w:val="24"/>
        </w:rPr>
        <w:t>Principia</w:t>
      </w:r>
      <w:r>
        <w:rPr>
          <w:rFonts w:ascii="Times New Roman" w:hAnsi="Times New Roman"/>
          <w:sz w:val="24"/>
          <w:szCs w:val="24"/>
        </w:rPr>
        <w:t>, 2002.</w:t>
      </w:r>
    </w:p>
    <w:p w:rsidR="00B84B75" w:rsidRPr="00DC7589" w:rsidRDefault="00B84B75" w:rsidP="002C2599">
      <w:pPr>
        <w:jc w:val="both"/>
        <w:rPr>
          <w:rFonts w:ascii="Times New Roman" w:hAnsi="Times New Roman"/>
          <w:sz w:val="24"/>
          <w:szCs w:val="24"/>
        </w:rPr>
      </w:pPr>
      <w:r>
        <w:rPr>
          <w:rFonts w:ascii="Times New Roman" w:hAnsi="Times New Roman"/>
          <w:sz w:val="24"/>
          <w:szCs w:val="24"/>
        </w:rPr>
        <w:t>ZAU, F.</w:t>
      </w:r>
      <w:r w:rsidRPr="00DC7589">
        <w:rPr>
          <w:rFonts w:ascii="Times New Roman" w:hAnsi="Times New Roman"/>
          <w:sz w:val="24"/>
          <w:szCs w:val="24"/>
        </w:rPr>
        <w:t xml:space="preserve"> </w:t>
      </w:r>
      <w:r>
        <w:rPr>
          <w:rFonts w:ascii="Times New Roman" w:hAnsi="Times New Roman"/>
          <w:i/>
          <w:sz w:val="24"/>
          <w:szCs w:val="24"/>
        </w:rPr>
        <w:t>Trilhos para o d</w:t>
      </w:r>
      <w:r w:rsidRPr="00DC7589">
        <w:rPr>
          <w:rFonts w:ascii="Times New Roman" w:hAnsi="Times New Roman"/>
          <w:i/>
          <w:sz w:val="24"/>
          <w:szCs w:val="24"/>
        </w:rPr>
        <w:t>esenvolvimento</w:t>
      </w:r>
      <w:r w:rsidRPr="00DC7589">
        <w:rPr>
          <w:rFonts w:ascii="Times New Roman" w:hAnsi="Times New Roman"/>
          <w:sz w:val="24"/>
          <w:szCs w:val="24"/>
        </w:rPr>
        <w:t>.</w:t>
      </w:r>
      <w:r>
        <w:rPr>
          <w:rFonts w:ascii="Times New Roman" w:hAnsi="Times New Roman"/>
          <w:sz w:val="24"/>
          <w:szCs w:val="24"/>
        </w:rPr>
        <w:t xml:space="preserve"> Lisboa:</w:t>
      </w:r>
      <w:r w:rsidRPr="00DC7589">
        <w:rPr>
          <w:rFonts w:ascii="Times New Roman" w:hAnsi="Times New Roman"/>
          <w:sz w:val="24"/>
          <w:szCs w:val="24"/>
        </w:rPr>
        <w:t xml:space="preserve"> Universidade Aberta</w:t>
      </w:r>
      <w:r>
        <w:rPr>
          <w:rFonts w:ascii="Times New Roman" w:hAnsi="Times New Roman"/>
          <w:sz w:val="24"/>
          <w:szCs w:val="24"/>
        </w:rPr>
        <w:t>, 2002.</w:t>
      </w:r>
    </w:p>
    <w:p w:rsidR="00B84B75" w:rsidRDefault="00B84B75" w:rsidP="002C2599"/>
    <w:p w:rsidR="00B84B75" w:rsidRDefault="00B84B75" w:rsidP="002C2599"/>
    <w:p w:rsidR="00B84B75" w:rsidRPr="00A253E4" w:rsidRDefault="00542FE9" w:rsidP="00B65464">
      <w:pPr>
        <w:pStyle w:val="NotasdeRodap"/>
        <w:rPr>
          <w:b/>
        </w:rPr>
      </w:pPr>
      <w:r w:rsidRPr="00A253E4">
        <w:rPr>
          <w:b/>
        </w:rPr>
        <w:t>Ermelinda Liberato</w:t>
      </w:r>
    </w:p>
    <w:p w:rsidR="00542FE9" w:rsidRDefault="00542FE9" w:rsidP="00B65464">
      <w:pPr>
        <w:pStyle w:val="NotasdeRodap"/>
      </w:pPr>
      <w:r>
        <w:t>PhD em Estudos Africanos pelo ISCTE-IUL, Lisboa</w:t>
      </w:r>
    </w:p>
    <w:p w:rsidR="00542FE9" w:rsidRDefault="00542FE9" w:rsidP="00B65464">
      <w:pPr>
        <w:pStyle w:val="NotasdeRodap"/>
      </w:pPr>
      <w:r>
        <w:t>Investigadora do Centro de Estudos Internacionais do ISCTE-IUL (CEI-IUL)</w:t>
      </w:r>
    </w:p>
    <w:p w:rsidR="00542FE9" w:rsidRDefault="0048437F" w:rsidP="00B65464">
      <w:pPr>
        <w:pStyle w:val="NotasdeRodap"/>
      </w:pPr>
      <w:r>
        <w:t>Professora auxiliar</w:t>
      </w:r>
      <w:r w:rsidR="00542FE9">
        <w:t xml:space="preserve"> da Faculdade de Ciências Sociais da Universidade Agostinho Neto (FCS-UAN), Luanda – Angola</w:t>
      </w:r>
    </w:p>
    <w:p w:rsidR="00542FE9" w:rsidRPr="002D6773" w:rsidRDefault="00542FE9" w:rsidP="00B65464">
      <w:pPr>
        <w:pStyle w:val="NotasdeRodap"/>
      </w:pPr>
      <w:hyperlink r:id="rId9" w:history="1">
        <w:r w:rsidRPr="00871ABC">
          <w:rPr>
            <w:rStyle w:val="Hiperligao"/>
          </w:rPr>
          <w:t>Ermelinda.liberato@gmail.com</w:t>
        </w:r>
      </w:hyperlink>
      <w:r>
        <w:t xml:space="preserve">  </w:t>
      </w:r>
      <w:bookmarkStart w:id="66" w:name="_GoBack"/>
      <w:bookmarkEnd w:id="66"/>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38943"/>
      <w:docPartObj>
        <w:docPartGallery w:val="Page Numbers (Bottom of Page)"/>
        <w:docPartUnique/>
      </w:docPartObj>
    </w:sdtPr>
    <w:sdtContent>
      <w:p w:rsidR="00B84B75" w:rsidRDefault="00B84B75">
        <w:pPr>
          <w:pStyle w:val="Rodap"/>
          <w:jc w:val="right"/>
        </w:pPr>
        <w:r>
          <w:fldChar w:fldCharType="begin"/>
        </w:r>
        <w:r>
          <w:instrText xml:space="preserve"> PAGE   \* MERGEFORMAT </w:instrText>
        </w:r>
        <w:r>
          <w:fldChar w:fldCharType="separate"/>
        </w:r>
        <w:r w:rsidR="0048437F">
          <w:rPr>
            <w:noProof/>
          </w:rPr>
          <w:t>20</w:t>
        </w:r>
        <w:r>
          <w:rPr>
            <w:noProof/>
          </w:rPr>
          <w:fldChar w:fldCharType="end"/>
        </w:r>
      </w:p>
    </w:sdtContent>
  </w:sdt>
  <w:p w:rsidR="00B84B75" w:rsidRDefault="00B84B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CFC" w:rsidRDefault="00945CFC" w:rsidP="00DA21FB">
      <w:pPr>
        <w:spacing w:after="0" w:line="240" w:lineRule="auto"/>
      </w:pPr>
      <w:r>
        <w:separator/>
      </w:r>
    </w:p>
  </w:footnote>
  <w:footnote w:type="continuationSeparator" w:id="0">
    <w:p w:rsidR="00945CFC" w:rsidRDefault="00945CFC" w:rsidP="00DA2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BD0"/>
    <w:multiLevelType w:val="multilevel"/>
    <w:tmpl w:val="FB7202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497DCF"/>
    <w:multiLevelType w:val="hybridMultilevel"/>
    <w:tmpl w:val="B35409DC"/>
    <w:lvl w:ilvl="0" w:tplc="5658DEEC">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9B50DC9"/>
    <w:multiLevelType w:val="multilevel"/>
    <w:tmpl w:val="13E8F44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406942"/>
    <w:multiLevelType w:val="multilevel"/>
    <w:tmpl w:val="2070E15A"/>
    <w:numStyleLink w:val="Estilo2"/>
  </w:abstractNum>
  <w:abstractNum w:abstractNumId="4" w15:restartNumberingAfterBreak="0">
    <w:nsid w:val="0E1B56FE"/>
    <w:multiLevelType w:val="multilevel"/>
    <w:tmpl w:val="2070E15A"/>
    <w:numStyleLink w:val="Estilo2"/>
  </w:abstractNum>
  <w:abstractNum w:abstractNumId="5" w15:restartNumberingAfterBreak="0">
    <w:nsid w:val="0EC53E07"/>
    <w:multiLevelType w:val="hybridMultilevel"/>
    <w:tmpl w:val="AEF0C462"/>
    <w:lvl w:ilvl="0" w:tplc="70B06B58">
      <w:start w:val="1"/>
      <w:numFmt w:val="bullet"/>
      <w:lvlText w:val="•"/>
      <w:lvlJc w:val="left"/>
      <w:pPr>
        <w:tabs>
          <w:tab w:val="num" w:pos="720"/>
        </w:tabs>
        <w:ind w:left="720" w:hanging="360"/>
      </w:pPr>
      <w:rPr>
        <w:rFonts w:ascii="Times New Roman" w:hAnsi="Times New Roman" w:hint="default"/>
      </w:rPr>
    </w:lvl>
    <w:lvl w:ilvl="1" w:tplc="783885A6" w:tentative="1">
      <w:start w:val="1"/>
      <w:numFmt w:val="bullet"/>
      <w:lvlText w:val="•"/>
      <w:lvlJc w:val="left"/>
      <w:pPr>
        <w:tabs>
          <w:tab w:val="num" w:pos="1440"/>
        </w:tabs>
        <w:ind w:left="1440" w:hanging="360"/>
      </w:pPr>
      <w:rPr>
        <w:rFonts w:ascii="Times New Roman" w:hAnsi="Times New Roman" w:hint="default"/>
      </w:rPr>
    </w:lvl>
    <w:lvl w:ilvl="2" w:tplc="8FAAE49A" w:tentative="1">
      <w:start w:val="1"/>
      <w:numFmt w:val="bullet"/>
      <w:lvlText w:val="•"/>
      <w:lvlJc w:val="left"/>
      <w:pPr>
        <w:tabs>
          <w:tab w:val="num" w:pos="2160"/>
        </w:tabs>
        <w:ind w:left="2160" w:hanging="360"/>
      </w:pPr>
      <w:rPr>
        <w:rFonts w:ascii="Times New Roman" w:hAnsi="Times New Roman" w:hint="default"/>
      </w:rPr>
    </w:lvl>
    <w:lvl w:ilvl="3" w:tplc="A0D80E52" w:tentative="1">
      <w:start w:val="1"/>
      <w:numFmt w:val="bullet"/>
      <w:lvlText w:val="•"/>
      <w:lvlJc w:val="left"/>
      <w:pPr>
        <w:tabs>
          <w:tab w:val="num" w:pos="2880"/>
        </w:tabs>
        <w:ind w:left="2880" w:hanging="360"/>
      </w:pPr>
      <w:rPr>
        <w:rFonts w:ascii="Times New Roman" w:hAnsi="Times New Roman" w:hint="default"/>
      </w:rPr>
    </w:lvl>
    <w:lvl w:ilvl="4" w:tplc="B1244944" w:tentative="1">
      <w:start w:val="1"/>
      <w:numFmt w:val="bullet"/>
      <w:lvlText w:val="•"/>
      <w:lvlJc w:val="left"/>
      <w:pPr>
        <w:tabs>
          <w:tab w:val="num" w:pos="3600"/>
        </w:tabs>
        <w:ind w:left="3600" w:hanging="360"/>
      </w:pPr>
      <w:rPr>
        <w:rFonts w:ascii="Times New Roman" w:hAnsi="Times New Roman" w:hint="default"/>
      </w:rPr>
    </w:lvl>
    <w:lvl w:ilvl="5" w:tplc="4E2A0D8C" w:tentative="1">
      <w:start w:val="1"/>
      <w:numFmt w:val="bullet"/>
      <w:lvlText w:val="•"/>
      <w:lvlJc w:val="left"/>
      <w:pPr>
        <w:tabs>
          <w:tab w:val="num" w:pos="4320"/>
        </w:tabs>
        <w:ind w:left="4320" w:hanging="360"/>
      </w:pPr>
      <w:rPr>
        <w:rFonts w:ascii="Times New Roman" w:hAnsi="Times New Roman" w:hint="default"/>
      </w:rPr>
    </w:lvl>
    <w:lvl w:ilvl="6" w:tplc="35BE0F2A" w:tentative="1">
      <w:start w:val="1"/>
      <w:numFmt w:val="bullet"/>
      <w:lvlText w:val="•"/>
      <w:lvlJc w:val="left"/>
      <w:pPr>
        <w:tabs>
          <w:tab w:val="num" w:pos="5040"/>
        </w:tabs>
        <w:ind w:left="5040" w:hanging="360"/>
      </w:pPr>
      <w:rPr>
        <w:rFonts w:ascii="Times New Roman" w:hAnsi="Times New Roman" w:hint="default"/>
      </w:rPr>
    </w:lvl>
    <w:lvl w:ilvl="7" w:tplc="11E6F31E" w:tentative="1">
      <w:start w:val="1"/>
      <w:numFmt w:val="bullet"/>
      <w:lvlText w:val="•"/>
      <w:lvlJc w:val="left"/>
      <w:pPr>
        <w:tabs>
          <w:tab w:val="num" w:pos="5760"/>
        </w:tabs>
        <w:ind w:left="5760" w:hanging="360"/>
      </w:pPr>
      <w:rPr>
        <w:rFonts w:ascii="Times New Roman" w:hAnsi="Times New Roman" w:hint="default"/>
      </w:rPr>
    </w:lvl>
    <w:lvl w:ilvl="8" w:tplc="6B2E21B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7B53F3"/>
    <w:multiLevelType w:val="multilevel"/>
    <w:tmpl w:val="BCDE0A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D62E32"/>
    <w:multiLevelType w:val="multilevel"/>
    <w:tmpl w:val="2070E15A"/>
    <w:numStyleLink w:val="Estilo2"/>
  </w:abstractNum>
  <w:abstractNum w:abstractNumId="8" w15:restartNumberingAfterBreak="0">
    <w:nsid w:val="19A879F9"/>
    <w:multiLevelType w:val="multilevel"/>
    <w:tmpl w:val="2070E15A"/>
    <w:numStyleLink w:val="Estilo2"/>
  </w:abstractNum>
  <w:abstractNum w:abstractNumId="9" w15:restartNumberingAfterBreak="0">
    <w:nsid w:val="1B3A4433"/>
    <w:multiLevelType w:val="multilevel"/>
    <w:tmpl w:val="39306E0E"/>
    <w:lvl w:ilvl="0">
      <w:start w:val="1"/>
      <w:numFmt w:val="none"/>
      <w:lvlText w:val="%1"/>
      <w:lvlJc w:val="left"/>
      <w:pPr>
        <w:ind w:left="360" w:hanging="360"/>
      </w:pPr>
      <w:rPr>
        <w:rFonts w:hint="default"/>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B74ED"/>
    <w:multiLevelType w:val="multilevel"/>
    <w:tmpl w:val="D690F60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23007A"/>
    <w:multiLevelType w:val="multilevel"/>
    <w:tmpl w:val="C4AEEAB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4699D"/>
    <w:multiLevelType w:val="multilevel"/>
    <w:tmpl w:val="2070E15A"/>
    <w:numStyleLink w:val="Estilo2"/>
  </w:abstractNum>
  <w:abstractNum w:abstractNumId="13" w15:restartNumberingAfterBreak="0">
    <w:nsid w:val="27076E66"/>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7A2181"/>
    <w:multiLevelType w:val="multilevel"/>
    <w:tmpl w:val="95D4531E"/>
    <w:lvl w:ilvl="0">
      <w:start w:val="1"/>
      <w:numFmt w:val="none"/>
      <w:lvlText w:val="%1"/>
      <w:lvlJc w:val="left"/>
      <w:pPr>
        <w:ind w:left="360" w:hanging="360"/>
      </w:pPr>
      <w:rPr>
        <w:rFonts w:hint="default"/>
        <w:u w:color="FFFFFF" w:themeColor="background1"/>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0802E7"/>
    <w:multiLevelType w:val="multilevel"/>
    <w:tmpl w:val="8D929906"/>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9761F93"/>
    <w:multiLevelType w:val="multilevel"/>
    <w:tmpl w:val="82E6458E"/>
    <w:lvl w:ilvl="0">
      <w:start w:val="1"/>
      <w:numFmt w:val="none"/>
      <w:lvlText w:val="%1"/>
      <w:lvlJc w:val="left"/>
      <w:pPr>
        <w:ind w:left="360" w:hanging="360"/>
      </w:pPr>
      <w:rPr>
        <w:rFonts w:hint="default"/>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C66C93"/>
    <w:multiLevelType w:val="hybridMultilevel"/>
    <w:tmpl w:val="C56C6D3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0B10623"/>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8F197B"/>
    <w:multiLevelType w:val="multilevel"/>
    <w:tmpl w:val="2070E15A"/>
    <w:numStyleLink w:val="Estilo2"/>
  </w:abstractNum>
  <w:abstractNum w:abstractNumId="20" w15:restartNumberingAfterBreak="0">
    <w:nsid w:val="42CB21BE"/>
    <w:multiLevelType w:val="hybridMultilevel"/>
    <w:tmpl w:val="31644AB2"/>
    <w:lvl w:ilvl="0" w:tplc="0816000F">
      <w:start w:val="1"/>
      <w:numFmt w:val="decimal"/>
      <w:lvlText w:val="%1."/>
      <w:lvlJc w:val="left"/>
      <w:pPr>
        <w:tabs>
          <w:tab w:val="num" w:pos="1260"/>
        </w:tabs>
        <w:ind w:left="1260" w:hanging="360"/>
      </w:pPr>
    </w:lvl>
    <w:lvl w:ilvl="1" w:tplc="08160019" w:tentative="1">
      <w:start w:val="1"/>
      <w:numFmt w:val="lowerLetter"/>
      <w:lvlText w:val="%2."/>
      <w:lvlJc w:val="left"/>
      <w:pPr>
        <w:tabs>
          <w:tab w:val="num" w:pos="1980"/>
        </w:tabs>
        <w:ind w:left="1980" w:hanging="360"/>
      </w:pPr>
    </w:lvl>
    <w:lvl w:ilvl="2" w:tplc="0816001B" w:tentative="1">
      <w:start w:val="1"/>
      <w:numFmt w:val="lowerRoman"/>
      <w:lvlText w:val="%3."/>
      <w:lvlJc w:val="right"/>
      <w:pPr>
        <w:tabs>
          <w:tab w:val="num" w:pos="2700"/>
        </w:tabs>
        <w:ind w:left="2700" w:hanging="180"/>
      </w:pPr>
    </w:lvl>
    <w:lvl w:ilvl="3" w:tplc="0816000F" w:tentative="1">
      <w:start w:val="1"/>
      <w:numFmt w:val="decimal"/>
      <w:lvlText w:val="%4."/>
      <w:lvlJc w:val="left"/>
      <w:pPr>
        <w:tabs>
          <w:tab w:val="num" w:pos="3420"/>
        </w:tabs>
        <w:ind w:left="3420" w:hanging="360"/>
      </w:pPr>
    </w:lvl>
    <w:lvl w:ilvl="4" w:tplc="08160019" w:tentative="1">
      <w:start w:val="1"/>
      <w:numFmt w:val="lowerLetter"/>
      <w:lvlText w:val="%5."/>
      <w:lvlJc w:val="left"/>
      <w:pPr>
        <w:tabs>
          <w:tab w:val="num" w:pos="4140"/>
        </w:tabs>
        <w:ind w:left="4140" w:hanging="360"/>
      </w:pPr>
    </w:lvl>
    <w:lvl w:ilvl="5" w:tplc="0816001B" w:tentative="1">
      <w:start w:val="1"/>
      <w:numFmt w:val="lowerRoman"/>
      <w:lvlText w:val="%6."/>
      <w:lvlJc w:val="right"/>
      <w:pPr>
        <w:tabs>
          <w:tab w:val="num" w:pos="4860"/>
        </w:tabs>
        <w:ind w:left="4860" w:hanging="180"/>
      </w:pPr>
    </w:lvl>
    <w:lvl w:ilvl="6" w:tplc="0816000F" w:tentative="1">
      <w:start w:val="1"/>
      <w:numFmt w:val="decimal"/>
      <w:lvlText w:val="%7."/>
      <w:lvlJc w:val="left"/>
      <w:pPr>
        <w:tabs>
          <w:tab w:val="num" w:pos="5580"/>
        </w:tabs>
        <w:ind w:left="5580" w:hanging="360"/>
      </w:pPr>
    </w:lvl>
    <w:lvl w:ilvl="7" w:tplc="08160019" w:tentative="1">
      <w:start w:val="1"/>
      <w:numFmt w:val="lowerLetter"/>
      <w:lvlText w:val="%8."/>
      <w:lvlJc w:val="left"/>
      <w:pPr>
        <w:tabs>
          <w:tab w:val="num" w:pos="6300"/>
        </w:tabs>
        <w:ind w:left="6300" w:hanging="360"/>
      </w:pPr>
    </w:lvl>
    <w:lvl w:ilvl="8" w:tplc="0816001B" w:tentative="1">
      <w:start w:val="1"/>
      <w:numFmt w:val="lowerRoman"/>
      <w:lvlText w:val="%9."/>
      <w:lvlJc w:val="right"/>
      <w:pPr>
        <w:tabs>
          <w:tab w:val="num" w:pos="7020"/>
        </w:tabs>
        <w:ind w:left="7020" w:hanging="180"/>
      </w:pPr>
    </w:lvl>
  </w:abstractNum>
  <w:abstractNum w:abstractNumId="21" w15:restartNumberingAfterBreak="0">
    <w:nsid w:val="45B3346A"/>
    <w:multiLevelType w:val="multilevel"/>
    <w:tmpl w:val="1CA407A0"/>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E24412"/>
    <w:multiLevelType w:val="multilevel"/>
    <w:tmpl w:val="FB7202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3B6A24"/>
    <w:multiLevelType w:val="multilevel"/>
    <w:tmpl w:val="2070E15A"/>
    <w:numStyleLink w:val="Estilo2"/>
  </w:abstractNum>
  <w:abstractNum w:abstractNumId="24" w15:restartNumberingAfterBreak="0">
    <w:nsid w:val="4E625450"/>
    <w:multiLevelType w:val="multilevel"/>
    <w:tmpl w:val="A330D8FA"/>
    <w:lvl w:ilvl="0">
      <w:start w:val="1"/>
      <w:numFmt w:val="none"/>
      <w:lvlText w:val="%1"/>
      <w:lvlJc w:val="left"/>
      <w:pPr>
        <w:ind w:left="360" w:hanging="360"/>
      </w:pPr>
      <w:rPr>
        <w:rFonts w:hint="default"/>
        <w:u w:color="FFFFFF" w:themeColor="background1"/>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12280B"/>
    <w:multiLevelType w:val="multilevel"/>
    <w:tmpl w:val="F926A8D6"/>
    <w:styleLink w:val="Estilo3"/>
    <w:lvl w:ilvl="0">
      <w:start w:val="1"/>
      <w:numFmt w:val="none"/>
      <w:lvlText w:val="%1"/>
      <w:lvlJc w:val="left"/>
      <w:pPr>
        <w:ind w:left="360" w:hanging="360"/>
      </w:pPr>
      <w:rPr>
        <w:rFonts w:hint="default"/>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494BCD"/>
    <w:multiLevelType w:val="multilevel"/>
    <w:tmpl w:val="196822C4"/>
    <w:lvl w:ilvl="0">
      <w:start w:val="1"/>
      <w:numFmt w:val="none"/>
      <w:pStyle w:val="Cabealhos"/>
      <w:lvlText w:val="%11"/>
      <w:lvlJc w:val="left"/>
      <w:pPr>
        <w:ind w:left="360" w:hanging="360"/>
      </w:pPr>
      <w:rPr>
        <w:rFonts w:hint="default"/>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5D0EDA"/>
    <w:multiLevelType w:val="multilevel"/>
    <w:tmpl w:val="2070E15A"/>
    <w:numStyleLink w:val="Estilo2"/>
  </w:abstractNum>
  <w:abstractNum w:abstractNumId="28" w15:restartNumberingAfterBreak="0">
    <w:nsid w:val="563447E7"/>
    <w:multiLevelType w:val="multilevel"/>
    <w:tmpl w:val="1C040AD8"/>
    <w:numStyleLink w:val="Estilo4"/>
  </w:abstractNum>
  <w:abstractNum w:abstractNumId="29" w15:restartNumberingAfterBreak="0">
    <w:nsid w:val="56717626"/>
    <w:multiLevelType w:val="multilevel"/>
    <w:tmpl w:val="1C040AD8"/>
    <w:numStyleLink w:val="Estilo4"/>
  </w:abstractNum>
  <w:abstractNum w:abstractNumId="30" w15:restartNumberingAfterBreak="0">
    <w:nsid w:val="56A71C78"/>
    <w:multiLevelType w:val="multilevel"/>
    <w:tmpl w:val="1C040AD8"/>
    <w:styleLink w:val="Estilo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534EED"/>
    <w:multiLevelType w:val="multilevel"/>
    <w:tmpl w:val="2070E15A"/>
    <w:numStyleLink w:val="Estilo2"/>
  </w:abstractNum>
  <w:abstractNum w:abstractNumId="32" w15:restartNumberingAfterBreak="0">
    <w:nsid w:val="5E594865"/>
    <w:multiLevelType w:val="multilevel"/>
    <w:tmpl w:val="2070E15A"/>
    <w:styleLink w:val="Estilo2"/>
    <w:lvl w:ilvl="0">
      <w:start w:val="1"/>
      <w:numFmt w:val="decimal"/>
      <w:lvlText w:val="%1."/>
      <w:lvlJc w:val="left"/>
      <w:pPr>
        <w:ind w:left="360" w:hanging="360"/>
      </w:pPr>
      <w:rPr>
        <w:rFonts w:hint="default"/>
        <w:u w:color="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C765CC"/>
    <w:multiLevelType w:val="multilevel"/>
    <w:tmpl w:val="2070E15A"/>
    <w:numStyleLink w:val="Estilo2"/>
  </w:abstractNum>
  <w:abstractNum w:abstractNumId="34" w15:restartNumberingAfterBreak="0">
    <w:nsid w:val="62DA17B3"/>
    <w:multiLevelType w:val="multilevel"/>
    <w:tmpl w:val="2070E15A"/>
    <w:numStyleLink w:val="Estilo2"/>
  </w:abstractNum>
  <w:abstractNum w:abstractNumId="35" w15:restartNumberingAfterBreak="0">
    <w:nsid w:val="689C0035"/>
    <w:multiLevelType w:val="multilevel"/>
    <w:tmpl w:val="2070E15A"/>
    <w:numStyleLink w:val="Estilo2"/>
  </w:abstractNum>
  <w:abstractNum w:abstractNumId="36" w15:restartNumberingAfterBreak="0">
    <w:nsid w:val="698551D7"/>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96CA3"/>
    <w:multiLevelType w:val="multilevel"/>
    <w:tmpl w:val="0E5E9D88"/>
    <w:lvl w:ilvl="0">
      <w:start w:val="1"/>
      <w:numFmt w:val="decimal"/>
      <w:lvlText w:val="%1."/>
      <w:lvlJc w:val="left"/>
      <w:pPr>
        <w:ind w:left="360" w:hanging="360"/>
      </w:pPr>
      <w:rPr>
        <w:rFonts w:hint="default"/>
        <w:u w:color="FFFFFF" w:themeColor="background1"/>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300182"/>
    <w:multiLevelType w:val="multilevel"/>
    <w:tmpl w:val="9862877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9C1258"/>
    <w:multiLevelType w:val="multilevel"/>
    <w:tmpl w:val="8A3232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9D2032"/>
    <w:multiLevelType w:val="multilevel"/>
    <w:tmpl w:val="1C040AD8"/>
    <w:numStyleLink w:val="Estilo4"/>
  </w:abstractNum>
  <w:abstractNum w:abstractNumId="41" w15:restartNumberingAfterBreak="0">
    <w:nsid w:val="76C11631"/>
    <w:multiLevelType w:val="multilevel"/>
    <w:tmpl w:val="249C024A"/>
    <w:lvl w:ilvl="0">
      <w:start w:val="1"/>
      <w:numFmt w:val="decimal"/>
      <w:lvlText w:val="%1."/>
      <w:lvlJc w:val="left"/>
      <w:pPr>
        <w:ind w:left="360" w:hanging="360"/>
      </w:pPr>
      <w:rPr>
        <w:rFonts w:hint="default"/>
        <w:u w:color="FFFFFF" w:themeColor="background1"/>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3C3CBD"/>
    <w:multiLevelType w:val="multilevel"/>
    <w:tmpl w:val="7736E40A"/>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8105B9"/>
    <w:multiLevelType w:val="multilevel"/>
    <w:tmpl w:val="2070E15A"/>
    <w:numStyleLink w:val="Estilo2"/>
  </w:abstractNum>
  <w:abstractNum w:abstractNumId="44" w15:restartNumberingAfterBreak="0">
    <w:nsid w:val="7DFC0E3A"/>
    <w:multiLevelType w:val="multilevel"/>
    <w:tmpl w:val="FB7202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FF7F4F"/>
    <w:multiLevelType w:val="hybridMultilevel"/>
    <w:tmpl w:val="A6405E46"/>
    <w:lvl w:ilvl="0" w:tplc="00000005">
      <w:start w:val="1"/>
      <w:numFmt w:val="bullet"/>
      <w:lvlText w:val=""/>
      <w:lvlJc w:val="left"/>
      <w:pPr>
        <w:tabs>
          <w:tab w:val="num" w:pos="1069"/>
        </w:tabs>
        <w:ind w:left="1069" w:hanging="360"/>
      </w:pPr>
      <w:rPr>
        <w:rFonts w:ascii="Wingdings" w:hAnsi="Wingdings"/>
      </w:rPr>
    </w:lvl>
    <w:lvl w:ilvl="1" w:tplc="08160003" w:tentative="1">
      <w:start w:val="1"/>
      <w:numFmt w:val="bullet"/>
      <w:lvlText w:val="o"/>
      <w:lvlJc w:val="left"/>
      <w:pPr>
        <w:tabs>
          <w:tab w:val="num" w:pos="2149"/>
        </w:tabs>
        <w:ind w:left="2149" w:hanging="360"/>
      </w:pPr>
      <w:rPr>
        <w:rFonts w:ascii="Courier New" w:hAnsi="Courier New" w:hint="default"/>
      </w:rPr>
    </w:lvl>
    <w:lvl w:ilvl="2" w:tplc="08160005" w:tentative="1">
      <w:start w:val="1"/>
      <w:numFmt w:val="bullet"/>
      <w:lvlText w:val=""/>
      <w:lvlJc w:val="left"/>
      <w:pPr>
        <w:tabs>
          <w:tab w:val="num" w:pos="2869"/>
        </w:tabs>
        <w:ind w:left="2869" w:hanging="360"/>
      </w:pPr>
      <w:rPr>
        <w:rFonts w:ascii="Wingdings" w:hAnsi="Wingdings" w:hint="default"/>
      </w:rPr>
    </w:lvl>
    <w:lvl w:ilvl="3" w:tplc="08160001" w:tentative="1">
      <w:start w:val="1"/>
      <w:numFmt w:val="bullet"/>
      <w:lvlText w:val=""/>
      <w:lvlJc w:val="left"/>
      <w:pPr>
        <w:tabs>
          <w:tab w:val="num" w:pos="3589"/>
        </w:tabs>
        <w:ind w:left="3589" w:hanging="360"/>
      </w:pPr>
      <w:rPr>
        <w:rFonts w:ascii="Symbol" w:hAnsi="Symbol" w:hint="default"/>
      </w:rPr>
    </w:lvl>
    <w:lvl w:ilvl="4" w:tplc="08160003" w:tentative="1">
      <w:start w:val="1"/>
      <w:numFmt w:val="bullet"/>
      <w:lvlText w:val="o"/>
      <w:lvlJc w:val="left"/>
      <w:pPr>
        <w:tabs>
          <w:tab w:val="num" w:pos="4309"/>
        </w:tabs>
        <w:ind w:left="4309" w:hanging="360"/>
      </w:pPr>
      <w:rPr>
        <w:rFonts w:ascii="Courier New" w:hAnsi="Courier New" w:hint="default"/>
      </w:rPr>
    </w:lvl>
    <w:lvl w:ilvl="5" w:tplc="08160005" w:tentative="1">
      <w:start w:val="1"/>
      <w:numFmt w:val="bullet"/>
      <w:lvlText w:val=""/>
      <w:lvlJc w:val="left"/>
      <w:pPr>
        <w:tabs>
          <w:tab w:val="num" w:pos="5029"/>
        </w:tabs>
        <w:ind w:left="5029" w:hanging="360"/>
      </w:pPr>
      <w:rPr>
        <w:rFonts w:ascii="Wingdings" w:hAnsi="Wingdings" w:hint="default"/>
      </w:rPr>
    </w:lvl>
    <w:lvl w:ilvl="6" w:tplc="08160001" w:tentative="1">
      <w:start w:val="1"/>
      <w:numFmt w:val="bullet"/>
      <w:lvlText w:val=""/>
      <w:lvlJc w:val="left"/>
      <w:pPr>
        <w:tabs>
          <w:tab w:val="num" w:pos="5749"/>
        </w:tabs>
        <w:ind w:left="5749" w:hanging="360"/>
      </w:pPr>
      <w:rPr>
        <w:rFonts w:ascii="Symbol" w:hAnsi="Symbol" w:hint="default"/>
      </w:rPr>
    </w:lvl>
    <w:lvl w:ilvl="7" w:tplc="08160003" w:tentative="1">
      <w:start w:val="1"/>
      <w:numFmt w:val="bullet"/>
      <w:lvlText w:val="o"/>
      <w:lvlJc w:val="left"/>
      <w:pPr>
        <w:tabs>
          <w:tab w:val="num" w:pos="6469"/>
        </w:tabs>
        <w:ind w:left="6469" w:hanging="360"/>
      </w:pPr>
      <w:rPr>
        <w:rFonts w:ascii="Courier New" w:hAnsi="Courier New" w:hint="default"/>
      </w:rPr>
    </w:lvl>
    <w:lvl w:ilvl="8" w:tplc="0816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E002885"/>
    <w:multiLevelType w:val="multilevel"/>
    <w:tmpl w:val="3DBCE7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45"/>
  </w:num>
  <w:num w:numId="3">
    <w:abstractNumId w:val="5"/>
  </w:num>
  <w:num w:numId="4">
    <w:abstractNumId w:val="1"/>
  </w:num>
  <w:num w:numId="5">
    <w:abstractNumId w:val="17"/>
  </w:num>
  <w:num w:numId="6">
    <w:abstractNumId w:val="2"/>
  </w:num>
  <w:num w:numId="7">
    <w:abstractNumId w:val="13"/>
  </w:num>
  <w:num w:numId="8">
    <w:abstractNumId w:val="46"/>
  </w:num>
  <w:num w:numId="9">
    <w:abstractNumId w:val="18"/>
  </w:num>
  <w:num w:numId="10">
    <w:abstractNumId w:val="42"/>
  </w:num>
  <w:num w:numId="11">
    <w:abstractNumId w:val="36"/>
  </w:num>
  <w:num w:numId="12">
    <w:abstractNumId w:val="26"/>
  </w:num>
  <w:num w:numId="13">
    <w:abstractNumId w:val="32"/>
  </w:num>
  <w:num w:numId="14">
    <w:abstractNumId w:val="3"/>
  </w:num>
  <w:num w:numId="15">
    <w:abstractNumId w:val="19"/>
  </w:num>
  <w:num w:numId="16">
    <w:abstractNumId w:val="25"/>
  </w:num>
  <w:num w:numId="17">
    <w:abstractNumId w:val="24"/>
  </w:num>
  <w:num w:numId="18">
    <w:abstractNumId w:val="29"/>
  </w:num>
  <w:num w:numId="19">
    <w:abstractNumId w:val="30"/>
  </w:num>
  <w:num w:numId="20">
    <w:abstractNumId w:val="10"/>
  </w:num>
  <w:num w:numId="21">
    <w:abstractNumId w:val="14"/>
  </w:num>
  <w:num w:numId="22">
    <w:abstractNumId w:val="9"/>
  </w:num>
  <w:num w:numId="23">
    <w:abstractNumId w:val="12"/>
  </w:num>
  <w:num w:numId="24">
    <w:abstractNumId w:val="39"/>
  </w:num>
  <w:num w:numId="25">
    <w:abstractNumId w:val="11"/>
  </w:num>
  <w:num w:numId="26">
    <w:abstractNumId w:val="38"/>
  </w:num>
  <w:num w:numId="27">
    <w:abstractNumId w:val="16"/>
  </w:num>
  <w:num w:numId="28">
    <w:abstractNumId w:val="26"/>
    <w:lvlOverride w:ilvl="0">
      <w:lvl w:ilvl="0">
        <w:start w:val="1"/>
        <w:numFmt w:val="none"/>
        <w:pStyle w:val="Cabealhos"/>
        <w:lvlText w:val="%12"/>
        <w:lvlJc w:val="left"/>
        <w:pPr>
          <w:ind w:left="360" w:hanging="360"/>
        </w:pPr>
        <w:rPr>
          <w:rFonts w:hint="default"/>
          <w:u w:color="FFFFFF" w:themeColor="background1"/>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8"/>
  </w:num>
  <w:num w:numId="30">
    <w:abstractNumId w:val="8"/>
  </w:num>
  <w:num w:numId="31">
    <w:abstractNumId w:val="35"/>
  </w:num>
  <w:num w:numId="32">
    <w:abstractNumId w:val="23"/>
  </w:num>
  <w:num w:numId="33">
    <w:abstractNumId w:val="43"/>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num>
  <w:num w:numId="34">
    <w:abstractNumId w:val="27"/>
  </w:num>
  <w:num w:numId="35">
    <w:abstractNumId w:val="40"/>
  </w:num>
  <w:num w:numId="36">
    <w:abstractNumId w:val="31"/>
  </w:num>
  <w:num w:numId="37">
    <w:abstractNumId w:val="7"/>
  </w:num>
  <w:num w:numId="38">
    <w:abstractNumId w:val="34"/>
  </w:num>
  <w:num w:numId="39">
    <w:abstractNumId w:val="33"/>
  </w:num>
  <w:num w:numId="40">
    <w:abstractNumId w:val="4"/>
  </w:num>
  <w:num w:numId="41">
    <w:abstractNumId w:val="6"/>
  </w:num>
  <w:num w:numId="42">
    <w:abstractNumId w:val="15"/>
  </w:num>
  <w:num w:numId="43">
    <w:abstractNumId w:val="21"/>
  </w:num>
  <w:num w:numId="44">
    <w:abstractNumId w:val="44"/>
  </w:num>
  <w:num w:numId="45">
    <w:abstractNumId w:val="22"/>
  </w:num>
  <w:num w:numId="46">
    <w:abstractNumId w:val="0"/>
  </w:num>
  <w:num w:numId="47">
    <w:abstractNumId w:val="3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FB"/>
    <w:rsid w:val="000010FF"/>
    <w:rsid w:val="000037F5"/>
    <w:rsid w:val="00004AA3"/>
    <w:rsid w:val="00016E67"/>
    <w:rsid w:val="000452F8"/>
    <w:rsid w:val="00063E6F"/>
    <w:rsid w:val="00073827"/>
    <w:rsid w:val="00077ABF"/>
    <w:rsid w:val="00087EE4"/>
    <w:rsid w:val="00092459"/>
    <w:rsid w:val="000A5116"/>
    <w:rsid w:val="000A5B10"/>
    <w:rsid w:val="000B357F"/>
    <w:rsid w:val="000B4242"/>
    <w:rsid w:val="000C2E14"/>
    <w:rsid w:val="000C4DA3"/>
    <w:rsid w:val="000C50D3"/>
    <w:rsid w:val="000D35E9"/>
    <w:rsid w:val="000D6AC5"/>
    <w:rsid w:val="000D7F72"/>
    <w:rsid w:val="000E02E6"/>
    <w:rsid w:val="000E42D7"/>
    <w:rsid w:val="0010218E"/>
    <w:rsid w:val="00140FE8"/>
    <w:rsid w:val="0016049D"/>
    <w:rsid w:val="001632B7"/>
    <w:rsid w:val="0016468C"/>
    <w:rsid w:val="0016689F"/>
    <w:rsid w:val="00172D1E"/>
    <w:rsid w:val="00183531"/>
    <w:rsid w:val="00184A42"/>
    <w:rsid w:val="0018748F"/>
    <w:rsid w:val="001B1B23"/>
    <w:rsid w:val="001C2022"/>
    <w:rsid w:val="001D1294"/>
    <w:rsid w:val="001E276A"/>
    <w:rsid w:val="001F246D"/>
    <w:rsid w:val="00203B74"/>
    <w:rsid w:val="00205394"/>
    <w:rsid w:val="00212662"/>
    <w:rsid w:val="00225D5C"/>
    <w:rsid w:val="00225F1D"/>
    <w:rsid w:val="002503CB"/>
    <w:rsid w:val="00263507"/>
    <w:rsid w:val="00285B92"/>
    <w:rsid w:val="0029693D"/>
    <w:rsid w:val="002B27DC"/>
    <w:rsid w:val="002C2599"/>
    <w:rsid w:val="002D3692"/>
    <w:rsid w:val="002E04F1"/>
    <w:rsid w:val="002F4FBA"/>
    <w:rsid w:val="00305FFA"/>
    <w:rsid w:val="00317CDB"/>
    <w:rsid w:val="00330ED5"/>
    <w:rsid w:val="003317E6"/>
    <w:rsid w:val="0034519C"/>
    <w:rsid w:val="00356F46"/>
    <w:rsid w:val="003A43BC"/>
    <w:rsid w:val="003B7CB2"/>
    <w:rsid w:val="00402C16"/>
    <w:rsid w:val="00403CF3"/>
    <w:rsid w:val="00413B5A"/>
    <w:rsid w:val="00420157"/>
    <w:rsid w:val="00434325"/>
    <w:rsid w:val="00437924"/>
    <w:rsid w:val="0045163E"/>
    <w:rsid w:val="00462D6F"/>
    <w:rsid w:val="00470457"/>
    <w:rsid w:val="00477EDC"/>
    <w:rsid w:val="0048437F"/>
    <w:rsid w:val="00490039"/>
    <w:rsid w:val="00493547"/>
    <w:rsid w:val="00497CE0"/>
    <w:rsid w:val="004B115B"/>
    <w:rsid w:val="004B79BE"/>
    <w:rsid w:val="004E017A"/>
    <w:rsid w:val="004E6A2C"/>
    <w:rsid w:val="004F6B66"/>
    <w:rsid w:val="005156FB"/>
    <w:rsid w:val="0054266C"/>
    <w:rsid w:val="00542FE9"/>
    <w:rsid w:val="00545648"/>
    <w:rsid w:val="005B1999"/>
    <w:rsid w:val="005B452C"/>
    <w:rsid w:val="005D00B3"/>
    <w:rsid w:val="005E19AF"/>
    <w:rsid w:val="005E4C48"/>
    <w:rsid w:val="005E5427"/>
    <w:rsid w:val="005E61BD"/>
    <w:rsid w:val="00605155"/>
    <w:rsid w:val="00620355"/>
    <w:rsid w:val="00622393"/>
    <w:rsid w:val="00642D89"/>
    <w:rsid w:val="00662B41"/>
    <w:rsid w:val="00663912"/>
    <w:rsid w:val="00665E6E"/>
    <w:rsid w:val="00667C61"/>
    <w:rsid w:val="006B2CC1"/>
    <w:rsid w:val="006C0AA5"/>
    <w:rsid w:val="006F1178"/>
    <w:rsid w:val="006F3ECB"/>
    <w:rsid w:val="006F5892"/>
    <w:rsid w:val="00733649"/>
    <w:rsid w:val="007354D5"/>
    <w:rsid w:val="00742958"/>
    <w:rsid w:val="0075762B"/>
    <w:rsid w:val="0076563C"/>
    <w:rsid w:val="0077532F"/>
    <w:rsid w:val="0077722D"/>
    <w:rsid w:val="0078251B"/>
    <w:rsid w:val="007940C9"/>
    <w:rsid w:val="00795CF6"/>
    <w:rsid w:val="007B384C"/>
    <w:rsid w:val="007B61EA"/>
    <w:rsid w:val="007C439A"/>
    <w:rsid w:val="007C5835"/>
    <w:rsid w:val="007D675F"/>
    <w:rsid w:val="007E00F2"/>
    <w:rsid w:val="007E27DA"/>
    <w:rsid w:val="007F17B0"/>
    <w:rsid w:val="008018EC"/>
    <w:rsid w:val="0080413F"/>
    <w:rsid w:val="00817522"/>
    <w:rsid w:val="0082065D"/>
    <w:rsid w:val="008347D0"/>
    <w:rsid w:val="00854552"/>
    <w:rsid w:val="008900EF"/>
    <w:rsid w:val="00892187"/>
    <w:rsid w:val="00893E6F"/>
    <w:rsid w:val="008E057F"/>
    <w:rsid w:val="008E3DB7"/>
    <w:rsid w:val="008F641D"/>
    <w:rsid w:val="00904F13"/>
    <w:rsid w:val="00936D8F"/>
    <w:rsid w:val="00945CFC"/>
    <w:rsid w:val="00952429"/>
    <w:rsid w:val="009542FE"/>
    <w:rsid w:val="00966E96"/>
    <w:rsid w:val="009A09C6"/>
    <w:rsid w:val="009A6CE3"/>
    <w:rsid w:val="00A04E79"/>
    <w:rsid w:val="00A12D69"/>
    <w:rsid w:val="00A253E4"/>
    <w:rsid w:val="00A32085"/>
    <w:rsid w:val="00A36614"/>
    <w:rsid w:val="00A43BD4"/>
    <w:rsid w:val="00A52F43"/>
    <w:rsid w:val="00A5560B"/>
    <w:rsid w:val="00A624E1"/>
    <w:rsid w:val="00A64E6A"/>
    <w:rsid w:val="00A66828"/>
    <w:rsid w:val="00A72425"/>
    <w:rsid w:val="00A7563C"/>
    <w:rsid w:val="00A758C4"/>
    <w:rsid w:val="00A77EA1"/>
    <w:rsid w:val="00A8762C"/>
    <w:rsid w:val="00A93BBF"/>
    <w:rsid w:val="00AB32D4"/>
    <w:rsid w:val="00AD52F5"/>
    <w:rsid w:val="00AF57BF"/>
    <w:rsid w:val="00AF76BC"/>
    <w:rsid w:val="00B023E0"/>
    <w:rsid w:val="00B231C4"/>
    <w:rsid w:val="00B3254A"/>
    <w:rsid w:val="00B4515D"/>
    <w:rsid w:val="00B47567"/>
    <w:rsid w:val="00B55393"/>
    <w:rsid w:val="00B65464"/>
    <w:rsid w:val="00B84B75"/>
    <w:rsid w:val="00BB038C"/>
    <w:rsid w:val="00BC4A75"/>
    <w:rsid w:val="00BC5B8F"/>
    <w:rsid w:val="00BD6C3A"/>
    <w:rsid w:val="00BE5D8E"/>
    <w:rsid w:val="00BE5EEF"/>
    <w:rsid w:val="00BF48EC"/>
    <w:rsid w:val="00BF78E4"/>
    <w:rsid w:val="00C13E8D"/>
    <w:rsid w:val="00C34954"/>
    <w:rsid w:val="00C4772F"/>
    <w:rsid w:val="00C478B4"/>
    <w:rsid w:val="00C55283"/>
    <w:rsid w:val="00C60D3A"/>
    <w:rsid w:val="00C769D1"/>
    <w:rsid w:val="00C77470"/>
    <w:rsid w:val="00C85E14"/>
    <w:rsid w:val="00C96960"/>
    <w:rsid w:val="00CA148F"/>
    <w:rsid w:val="00CA7EDC"/>
    <w:rsid w:val="00CB12AE"/>
    <w:rsid w:val="00CB312F"/>
    <w:rsid w:val="00CB3EAF"/>
    <w:rsid w:val="00CB51F3"/>
    <w:rsid w:val="00CD2F33"/>
    <w:rsid w:val="00CD39A7"/>
    <w:rsid w:val="00CE520C"/>
    <w:rsid w:val="00CF6F20"/>
    <w:rsid w:val="00D0159B"/>
    <w:rsid w:val="00D10EBB"/>
    <w:rsid w:val="00D222A6"/>
    <w:rsid w:val="00D237B5"/>
    <w:rsid w:val="00D30E56"/>
    <w:rsid w:val="00D42F9B"/>
    <w:rsid w:val="00D50D53"/>
    <w:rsid w:val="00D667FA"/>
    <w:rsid w:val="00D71510"/>
    <w:rsid w:val="00D83517"/>
    <w:rsid w:val="00D85827"/>
    <w:rsid w:val="00D913C1"/>
    <w:rsid w:val="00DA21FB"/>
    <w:rsid w:val="00DC7589"/>
    <w:rsid w:val="00DE0BE1"/>
    <w:rsid w:val="00E026EF"/>
    <w:rsid w:val="00E02F63"/>
    <w:rsid w:val="00E042FB"/>
    <w:rsid w:val="00E10C0C"/>
    <w:rsid w:val="00E14E20"/>
    <w:rsid w:val="00E16AB8"/>
    <w:rsid w:val="00E21D72"/>
    <w:rsid w:val="00E24D94"/>
    <w:rsid w:val="00E54801"/>
    <w:rsid w:val="00E63D93"/>
    <w:rsid w:val="00E74D96"/>
    <w:rsid w:val="00E87012"/>
    <w:rsid w:val="00EB637E"/>
    <w:rsid w:val="00EC3675"/>
    <w:rsid w:val="00EC5E94"/>
    <w:rsid w:val="00ED74C0"/>
    <w:rsid w:val="00EE28DF"/>
    <w:rsid w:val="00F017DB"/>
    <w:rsid w:val="00F0192F"/>
    <w:rsid w:val="00F02DE4"/>
    <w:rsid w:val="00F03F4F"/>
    <w:rsid w:val="00F14231"/>
    <w:rsid w:val="00F20F89"/>
    <w:rsid w:val="00F22695"/>
    <w:rsid w:val="00F35577"/>
    <w:rsid w:val="00F76B05"/>
    <w:rsid w:val="00F850C1"/>
    <w:rsid w:val="00F85484"/>
    <w:rsid w:val="00FA1171"/>
    <w:rsid w:val="00FB2DBF"/>
    <w:rsid w:val="00FB66F1"/>
    <w:rsid w:val="00FC0008"/>
    <w:rsid w:val="00FD29D6"/>
    <w:rsid w:val="00FD4822"/>
    <w:rsid w:val="00FE41CB"/>
    <w:rsid w:val="00FE5E8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3C4F"/>
  <w15:docId w15:val="{B435C1CE-7699-48AC-BFC8-7E51BED6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21FB"/>
    <w:rPr>
      <w:rFonts w:ascii="Calibri" w:eastAsia="Times New Roman" w:hAnsi="Calibri" w:cs="Times New Roman"/>
    </w:rPr>
  </w:style>
  <w:style w:type="paragraph" w:styleId="Cabealho1">
    <w:name w:val="heading 1"/>
    <w:basedOn w:val="Normal"/>
    <w:next w:val="Normal"/>
    <w:link w:val="Cabealho1Carter"/>
    <w:qFormat/>
    <w:rsid w:val="00DA21FB"/>
    <w:pPr>
      <w:keepNext/>
      <w:spacing w:after="0" w:line="240" w:lineRule="auto"/>
      <w:outlineLvl w:val="0"/>
    </w:pPr>
    <w:rPr>
      <w:rFonts w:ascii="Times New Roman" w:hAnsi="Times New Roman"/>
      <w:b/>
      <w:bCs/>
      <w:sz w:val="24"/>
      <w:szCs w:val="24"/>
      <w:lang w:eastAsia="pt-PT"/>
    </w:rPr>
  </w:style>
  <w:style w:type="paragraph" w:styleId="Cabealho2">
    <w:name w:val="heading 2"/>
    <w:basedOn w:val="Normal"/>
    <w:next w:val="Normal"/>
    <w:link w:val="Cabealho2Carter"/>
    <w:unhideWhenUsed/>
    <w:qFormat/>
    <w:rsid w:val="00DA21FB"/>
    <w:pPr>
      <w:keepNext/>
      <w:spacing w:before="240" w:after="60"/>
      <w:outlineLvl w:val="1"/>
    </w:pPr>
    <w:rPr>
      <w:rFonts w:ascii="Times New Roman" w:hAnsi="Times New Roman"/>
      <w:b/>
      <w:bCs/>
      <w:iCs/>
      <w:sz w:val="24"/>
      <w:szCs w:val="24"/>
    </w:rPr>
  </w:style>
  <w:style w:type="paragraph" w:styleId="Cabealho3">
    <w:name w:val="heading 3"/>
    <w:basedOn w:val="Normal"/>
    <w:next w:val="Normal"/>
    <w:link w:val="Cabealho3Carter"/>
    <w:semiHidden/>
    <w:unhideWhenUsed/>
    <w:qFormat/>
    <w:rsid w:val="00DA21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DA21FB"/>
    <w:rPr>
      <w:rFonts w:ascii="Times New Roman" w:eastAsia="Times New Roman" w:hAnsi="Times New Roman" w:cs="Times New Roman"/>
      <w:b/>
      <w:bCs/>
      <w:sz w:val="24"/>
      <w:szCs w:val="24"/>
      <w:lang w:eastAsia="pt-PT"/>
    </w:rPr>
  </w:style>
  <w:style w:type="character" w:customStyle="1" w:styleId="Cabealho2Carter">
    <w:name w:val="Cabeçalho 2 Caráter"/>
    <w:basedOn w:val="Tipodeletrapredefinidodopargrafo"/>
    <w:link w:val="Cabealho2"/>
    <w:rsid w:val="00DA21FB"/>
    <w:rPr>
      <w:rFonts w:ascii="Times New Roman" w:eastAsia="Times New Roman" w:hAnsi="Times New Roman" w:cs="Times New Roman"/>
      <w:b/>
      <w:bCs/>
      <w:iCs/>
      <w:sz w:val="24"/>
      <w:szCs w:val="24"/>
    </w:rPr>
  </w:style>
  <w:style w:type="character" w:customStyle="1" w:styleId="Cabealho3Carter">
    <w:name w:val="Cabeçalho 3 Caráter"/>
    <w:basedOn w:val="Tipodeletrapredefinidodopargrafo"/>
    <w:link w:val="Cabealho3"/>
    <w:semiHidden/>
    <w:rsid w:val="00DA21FB"/>
    <w:rPr>
      <w:rFonts w:asciiTheme="majorHAnsi" w:eastAsiaTheme="majorEastAsia" w:hAnsiTheme="majorHAnsi" w:cstheme="majorBidi"/>
      <w:b/>
      <w:bCs/>
      <w:color w:val="4F81BD" w:themeColor="accent1"/>
    </w:rPr>
  </w:style>
  <w:style w:type="paragraph" w:styleId="Textodenotadefim">
    <w:name w:val="endnote text"/>
    <w:basedOn w:val="Normal"/>
    <w:link w:val="TextodenotadefimCarter"/>
    <w:semiHidden/>
    <w:rsid w:val="00DA21FB"/>
    <w:pPr>
      <w:spacing w:after="0" w:line="240" w:lineRule="auto"/>
    </w:pPr>
    <w:rPr>
      <w:rFonts w:eastAsia="SimSun"/>
      <w:sz w:val="20"/>
      <w:szCs w:val="20"/>
      <w:lang w:eastAsia="zh-CN"/>
    </w:rPr>
  </w:style>
  <w:style w:type="character" w:customStyle="1" w:styleId="TextodenotadefimCarter">
    <w:name w:val="Texto de nota de fim Caráter"/>
    <w:basedOn w:val="Tipodeletrapredefinidodopargrafo"/>
    <w:link w:val="Textodenotadefim"/>
    <w:semiHidden/>
    <w:rsid w:val="00DA21FB"/>
    <w:rPr>
      <w:rFonts w:ascii="Calibri" w:eastAsia="SimSun" w:hAnsi="Calibri" w:cs="Times New Roman"/>
      <w:sz w:val="20"/>
      <w:szCs w:val="20"/>
      <w:lang w:eastAsia="zh-CN"/>
    </w:rPr>
  </w:style>
  <w:style w:type="character" w:styleId="Refdenotaderodap">
    <w:name w:val="footnote reference"/>
    <w:basedOn w:val="Tipodeletrapredefinidodopargrafo"/>
    <w:rsid w:val="00DA21FB"/>
    <w:rPr>
      <w:vertAlign w:val="superscript"/>
    </w:rPr>
  </w:style>
  <w:style w:type="paragraph" w:styleId="Legenda">
    <w:name w:val="caption"/>
    <w:basedOn w:val="Normal"/>
    <w:next w:val="Normal"/>
    <w:link w:val="LegendaCarter"/>
    <w:uiPriority w:val="99"/>
    <w:qFormat/>
    <w:rsid w:val="00DA21FB"/>
    <w:pPr>
      <w:spacing w:line="240" w:lineRule="auto"/>
    </w:pPr>
    <w:rPr>
      <w:rFonts w:eastAsia="SimSun"/>
      <w:b/>
      <w:bCs/>
      <w:color w:val="4F81BD"/>
      <w:sz w:val="18"/>
      <w:szCs w:val="18"/>
      <w:lang w:eastAsia="zh-CN"/>
    </w:rPr>
  </w:style>
  <w:style w:type="character" w:styleId="Hiperligao">
    <w:name w:val="Hyperlink"/>
    <w:basedOn w:val="Tipodeletrapredefinidodopargrafo"/>
    <w:uiPriority w:val="99"/>
    <w:rsid w:val="00DA21FB"/>
    <w:rPr>
      <w:color w:val="0000FF"/>
      <w:u w:val="single"/>
    </w:rPr>
  </w:style>
  <w:style w:type="paragraph" w:styleId="Textodenotaderodap">
    <w:name w:val="footnote text"/>
    <w:basedOn w:val="Normal"/>
    <w:link w:val="TextodenotaderodapCarter"/>
    <w:rsid w:val="00DA21FB"/>
    <w:rPr>
      <w:sz w:val="20"/>
      <w:szCs w:val="20"/>
    </w:rPr>
  </w:style>
  <w:style w:type="character" w:customStyle="1" w:styleId="TextodenotaderodapCarter">
    <w:name w:val="Texto de nota de rodapé Caráter"/>
    <w:basedOn w:val="Tipodeletrapredefinidodopargrafo"/>
    <w:link w:val="Textodenotaderodap"/>
    <w:rsid w:val="00DA21FB"/>
    <w:rPr>
      <w:rFonts w:ascii="Calibri" w:eastAsia="Times New Roman" w:hAnsi="Calibri" w:cs="Times New Roman"/>
      <w:sz w:val="20"/>
      <w:szCs w:val="20"/>
    </w:rPr>
  </w:style>
  <w:style w:type="character" w:styleId="Nmerodepgina">
    <w:name w:val="page number"/>
    <w:basedOn w:val="Tipodeletrapredefinidodopargrafo"/>
    <w:rsid w:val="00DA21FB"/>
  </w:style>
  <w:style w:type="paragraph" w:styleId="Rodap">
    <w:name w:val="footer"/>
    <w:basedOn w:val="Normal"/>
    <w:link w:val="RodapCarter"/>
    <w:uiPriority w:val="99"/>
    <w:rsid w:val="00DA21FB"/>
    <w:pPr>
      <w:tabs>
        <w:tab w:val="center" w:pos="4252"/>
        <w:tab w:val="right" w:pos="8504"/>
      </w:tabs>
    </w:pPr>
  </w:style>
  <w:style w:type="character" w:customStyle="1" w:styleId="RodapCarter">
    <w:name w:val="Rodapé Caráter"/>
    <w:basedOn w:val="Tipodeletrapredefinidodopargrafo"/>
    <w:link w:val="Rodap"/>
    <w:uiPriority w:val="99"/>
    <w:rsid w:val="00DA21FB"/>
    <w:rPr>
      <w:rFonts w:ascii="Calibri" w:eastAsia="Times New Roman" w:hAnsi="Calibri" w:cs="Times New Roman"/>
    </w:rPr>
  </w:style>
  <w:style w:type="table" w:styleId="Tabelacomgrelha">
    <w:name w:val="Table Grid"/>
    <w:basedOn w:val="Tabelanormal"/>
    <w:uiPriority w:val="59"/>
    <w:rsid w:val="00DA21FB"/>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deRodap">
    <w:name w:val="Notas de Rodapé"/>
    <w:basedOn w:val="Textodenotaderodap"/>
    <w:qFormat/>
    <w:rsid w:val="00DA21FB"/>
    <w:pPr>
      <w:spacing w:after="0" w:line="240" w:lineRule="auto"/>
      <w:jc w:val="both"/>
    </w:pPr>
    <w:rPr>
      <w:rFonts w:ascii="Times New Roman" w:hAnsi="Times New Roman"/>
      <w:sz w:val="22"/>
      <w:szCs w:val="22"/>
    </w:rPr>
  </w:style>
  <w:style w:type="paragraph" w:customStyle="1" w:styleId="Quadros">
    <w:name w:val="Quadros"/>
    <w:basedOn w:val="Normal"/>
    <w:qFormat/>
    <w:rsid w:val="00DA21FB"/>
    <w:pPr>
      <w:spacing w:after="0" w:line="240" w:lineRule="auto"/>
      <w:jc w:val="both"/>
    </w:pPr>
    <w:rPr>
      <w:rFonts w:ascii="Times New Roman" w:hAnsi="Times New Roman"/>
    </w:rPr>
  </w:style>
  <w:style w:type="paragraph" w:styleId="Cabealho">
    <w:name w:val="header"/>
    <w:basedOn w:val="Normal"/>
    <w:link w:val="CabealhoCarter"/>
    <w:uiPriority w:val="99"/>
    <w:rsid w:val="00DA21FB"/>
    <w:pPr>
      <w:tabs>
        <w:tab w:val="center" w:pos="4252"/>
        <w:tab w:val="right" w:pos="8504"/>
      </w:tabs>
    </w:pPr>
  </w:style>
  <w:style w:type="character" w:customStyle="1" w:styleId="CabealhoCarter">
    <w:name w:val="Cabeçalho Caráter"/>
    <w:basedOn w:val="Tipodeletrapredefinidodopargrafo"/>
    <w:link w:val="Cabealho"/>
    <w:uiPriority w:val="99"/>
    <w:rsid w:val="00DA21FB"/>
    <w:rPr>
      <w:rFonts w:ascii="Calibri" w:eastAsia="Times New Roman" w:hAnsi="Calibri" w:cs="Times New Roman"/>
    </w:rPr>
  </w:style>
  <w:style w:type="paragraph" w:styleId="Textodebalo">
    <w:name w:val="Balloon Text"/>
    <w:basedOn w:val="Normal"/>
    <w:link w:val="TextodebaloCarter"/>
    <w:rsid w:val="00DA21FB"/>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rsid w:val="00DA21FB"/>
    <w:rPr>
      <w:rFonts w:ascii="Tahoma" w:eastAsia="Times New Roman" w:hAnsi="Tahoma" w:cs="Tahoma"/>
      <w:sz w:val="16"/>
      <w:szCs w:val="16"/>
    </w:rPr>
  </w:style>
  <w:style w:type="paragraph" w:styleId="PargrafodaLista">
    <w:name w:val="List Paragraph"/>
    <w:basedOn w:val="Normal"/>
    <w:uiPriority w:val="34"/>
    <w:qFormat/>
    <w:rsid w:val="00DA21FB"/>
    <w:pPr>
      <w:ind w:left="720"/>
      <w:contextualSpacing/>
    </w:pPr>
  </w:style>
  <w:style w:type="paragraph" w:styleId="NormalWeb">
    <w:name w:val="Normal (Web)"/>
    <w:basedOn w:val="Normal"/>
    <w:unhideWhenUsed/>
    <w:rsid w:val="00DA21FB"/>
    <w:pPr>
      <w:spacing w:before="100" w:beforeAutospacing="1" w:after="100" w:afterAutospacing="1" w:line="240" w:lineRule="auto"/>
    </w:pPr>
    <w:rPr>
      <w:rFonts w:ascii="Times New Roman" w:hAnsi="Times New Roman"/>
      <w:sz w:val="24"/>
      <w:szCs w:val="24"/>
      <w:lang w:eastAsia="pt-PT"/>
    </w:rPr>
  </w:style>
  <w:style w:type="character" w:customStyle="1" w:styleId="apple-style-span">
    <w:name w:val="apple-style-span"/>
    <w:basedOn w:val="Tipodeletrapredefinidodopargrafo"/>
    <w:rsid w:val="00DA21FB"/>
  </w:style>
  <w:style w:type="character" w:customStyle="1" w:styleId="apple-converted-space">
    <w:name w:val="apple-converted-space"/>
    <w:basedOn w:val="Tipodeletrapredefinidodopargrafo"/>
    <w:rsid w:val="00DA21FB"/>
  </w:style>
  <w:style w:type="character" w:customStyle="1" w:styleId="hps">
    <w:name w:val="hps"/>
    <w:basedOn w:val="Tipodeletrapredefinidodopargrafo"/>
    <w:rsid w:val="00DA21FB"/>
  </w:style>
  <w:style w:type="paragraph" w:styleId="Avanodecorpodetexto">
    <w:name w:val="Body Text Indent"/>
    <w:basedOn w:val="Normal"/>
    <w:link w:val="AvanodecorpodetextoCarter"/>
    <w:rsid w:val="00DA21FB"/>
    <w:pPr>
      <w:spacing w:after="0" w:line="240" w:lineRule="auto"/>
      <w:ind w:firstLine="284"/>
      <w:jc w:val="both"/>
    </w:pPr>
    <w:rPr>
      <w:rFonts w:ascii="Arial" w:hAnsi="Arial"/>
      <w:sz w:val="28"/>
      <w:szCs w:val="20"/>
      <w:lang w:eastAsia="pt-PT"/>
    </w:rPr>
  </w:style>
  <w:style w:type="character" w:customStyle="1" w:styleId="AvanodecorpodetextoCarter">
    <w:name w:val="Avanço de corpo de texto Caráter"/>
    <w:basedOn w:val="Tipodeletrapredefinidodopargrafo"/>
    <w:link w:val="Avanodecorpodetexto"/>
    <w:rsid w:val="00DA21FB"/>
    <w:rPr>
      <w:rFonts w:ascii="Arial" w:eastAsia="Times New Roman" w:hAnsi="Arial" w:cs="Times New Roman"/>
      <w:sz w:val="28"/>
      <w:szCs w:val="20"/>
      <w:lang w:eastAsia="pt-PT"/>
    </w:rPr>
  </w:style>
  <w:style w:type="paragraph" w:styleId="Mapadodocumento">
    <w:name w:val="Document Map"/>
    <w:basedOn w:val="Normal"/>
    <w:link w:val="MapadodocumentoCarter"/>
    <w:rsid w:val="00DA21FB"/>
    <w:pPr>
      <w:shd w:val="clear" w:color="auto" w:fill="000080"/>
      <w:spacing w:after="0" w:line="240" w:lineRule="auto"/>
    </w:pPr>
    <w:rPr>
      <w:rFonts w:ascii="Tahoma" w:hAnsi="Tahoma" w:cs="Tahoma"/>
      <w:sz w:val="20"/>
      <w:szCs w:val="20"/>
      <w:lang w:val="en-GB" w:eastAsia="en-GB"/>
    </w:rPr>
  </w:style>
  <w:style w:type="character" w:customStyle="1" w:styleId="MapadodocumentoCarter">
    <w:name w:val="Mapa do documento Caráter"/>
    <w:basedOn w:val="Tipodeletrapredefinidodopargrafo"/>
    <w:link w:val="Mapadodocumento"/>
    <w:rsid w:val="00DA21FB"/>
    <w:rPr>
      <w:rFonts w:ascii="Tahoma" w:eastAsia="Times New Roman" w:hAnsi="Tahoma" w:cs="Tahoma"/>
      <w:sz w:val="20"/>
      <w:szCs w:val="20"/>
      <w:shd w:val="clear" w:color="auto" w:fill="000080"/>
      <w:lang w:val="en-GB" w:eastAsia="en-GB"/>
    </w:rPr>
  </w:style>
  <w:style w:type="paragraph" w:styleId="SemEspaamento">
    <w:name w:val="No Spacing"/>
    <w:uiPriority w:val="1"/>
    <w:qFormat/>
    <w:rsid w:val="00DA21FB"/>
    <w:pPr>
      <w:spacing w:after="0" w:line="240" w:lineRule="auto"/>
    </w:pPr>
  </w:style>
  <w:style w:type="paragraph" w:customStyle="1" w:styleId="Citaes">
    <w:name w:val="Citações"/>
    <w:basedOn w:val="Normal"/>
    <w:autoRedefine/>
    <w:rsid w:val="00DA21FB"/>
    <w:pPr>
      <w:spacing w:after="0" w:line="360" w:lineRule="auto"/>
      <w:ind w:left="567" w:right="567"/>
      <w:jc w:val="both"/>
    </w:pPr>
    <w:rPr>
      <w:rFonts w:ascii="Times New Roman" w:hAnsi="Times New Roman"/>
      <w:sz w:val="20"/>
      <w:szCs w:val="20"/>
      <w:lang w:eastAsia="pt-PT"/>
    </w:rPr>
  </w:style>
  <w:style w:type="character" w:styleId="Refdecomentrio">
    <w:name w:val="annotation reference"/>
    <w:basedOn w:val="Tipodeletrapredefinidodopargrafo"/>
    <w:rsid w:val="00DA21FB"/>
    <w:rPr>
      <w:sz w:val="16"/>
      <w:szCs w:val="16"/>
    </w:rPr>
  </w:style>
  <w:style w:type="paragraph" w:styleId="Textodecomentrio">
    <w:name w:val="annotation text"/>
    <w:basedOn w:val="Normal"/>
    <w:link w:val="TextodecomentrioCarter"/>
    <w:rsid w:val="00DA21FB"/>
    <w:pPr>
      <w:spacing w:line="240" w:lineRule="auto"/>
    </w:pPr>
    <w:rPr>
      <w:sz w:val="20"/>
      <w:szCs w:val="20"/>
    </w:rPr>
  </w:style>
  <w:style w:type="character" w:customStyle="1" w:styleId="TextodecomentrioCarter">
    <w:name w:val="Texto de comentário Caráter"/>
    <w:basedOn w:val="Tipodeletrapredefinidodopargrafo"/>
    <w:link w:val="Textodecomentrio"/>
    <w:rsid w:val="00DA21FB"/>
    <w:rPr>
      <w:rFonts w:ascii="Calibri" w:eastAsia="Times New Roman" w:hAnsi="Calibri" w:cs="Times New Roman"/>
      <w:sz w:val="20"/>
      <w:szCs w:val="20"/>
    </w:rPr>
  </w:style>
  <w:style w:type="paragraph" w:styleId="Corpodetexto2">
    <w:name w:val="Body Text 2"/>
    <w:basedOn w:val="Normal"/>
    <w:link w:val="Corpodetexto2Carter"/>
    <w:rsid w:val="00DA21FB"/>
    <w:pPr>
      <w:spacing w:after="120" w:line="480" w:lineRule="auto"/>
    </w:pPr>
    <w:rPr>
      <w:rFonts w:ascii="Times New Roman" w:hAnsi="Times New Roman"/>
      <w:sz w:val="24"/>
      <w:szCs w:val="24"/>
      <w:lang w:val="en-US"/>
    </w:rPr>
  </w:style>
  <w:style w:type="character" w:customStyle="1" w:styleId="Corpodetexto2Carter">
    <w:name w:val="Corpo de texto 2 Caráter"/>
    <w:basedOn w:val="Tipodeletrapredefinidodopargrafo"/>
    <w:link w:val="Corpodetexto2"/>
    <w:rsid w:val="00DA21FB"/>
    <w:rPr>
      <w:rFonts w:ascii="Times New Roman" w:eastAsia="Times New Roman" w:hAnsi="Times New Roman" w:cs="Times New Roman"/>
      <w:sz w:val="24"/>
      <w:szCs w:val="24"/>
      <w:lang w:val="en-US"/>
    </w:rPr>
  </w:style>
  <w:style w:type="character" w:styleId="Nmerodelinha">
    <w:name w:val="line number"/>
    <w:basedOn w:val="Tipodeletrapredefinidodopargrafo"/>
    <w:rsid w:val="00DA21FB"/>
  </w:style>
  <w:style w:type="paragraph" w:styleId="Corpodetexto">
    <w:name w:val="Body Text"/>
    <w:basedOn w:val="Normal"/>
    <w:link w:val="CorpodetextoCarter"/>
    <w:uiPriority w:val="99"/>
    <w:unhideWhenUsed/>
    <w:rsid w:val="00DA21FB"/>
    <w:pPr>
      <w:spacing w:after="120"/>
    </w:pPr>
  </w:style>
  <w:style w:type="character" w:customStyle="1" w:styleId="CorpodetextoCarter">
    <w:name w:val="Corpo de texto Caráter"/>
    <w:basedOn w:val="Tipodeletrapredefinidodopargrafo"/>
    <w:link w:val="Corpodetexto"/>
    <w:uiPriority w:val="99"/>
    <w:rsid w:val="00DA21FB"/>
    <w:rPr>
      <w:rFonts w:ascii="Calibri" w:eastAsia="Times New Roman" w:hAnsi="Calibri" w:cs="Times New Roman"/>
    </w:rPr>
  </w:style>
  <w:style w:type="paragraph" w:styleId="Cabealhodondice">
    <w:name w:val="TOC Heading"/>
    <w:basedOn w:val="Cabealho1"/>
    <w:next w:val="Normal"/>
    <w:uiPriority w:val="39"/>
    <w:unhideWhenUsed/>
    <w:qFormat/>
    <w:rsid w:val="00DA21FB"/>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ndice1">
    <w:name w:val="toc 1"/>
    <w:basedOn w:val="Normal"/>
    <w:next w:val="Normal"/>
    <w:autoRedefine/>
    <w:uiPriority w:val="39"/>
    <w:rsid w:val="00DA21FB"/>
    <w:pPr>
      <w:spacing w:after="100"/>
    </w:pPr>
  </w:style>
  <w:style w:type="paragraph" w:customStyle="1" w:styleId="Estilo1">
    <w:name w:val="Estilo1"/>
    <w:basedOn w:val="Normal"/>
    <w:next w:val="Cabealho1"/>
    <w:link w:val="Estilo1Carcter"/>
    <w:qFormat/>
    <w:rsid w:val="00DA21FB"/>
    <w:pPr>
      <w:spacing w:after="0" w:line="360" w:lineRule="auto"/>
      <w:ind w:firstLine="540"/>
      <w:jc w:val="both"/>
    </w:pPr>
    <w:rPr>
      <w:rFonts w:ascii="Times New Roman" w:hAnsi="Times New Roman"/>
      <w:b/>
      <w:sz w:val="24"/>
      <w:szCs w:val="24"/>
    </w:rPr>
  </w:style>
  <w:style w:type="paragraph" w:styleId="Reviso">
    <w:name w:val="Revision"/>
    <w:hidden/>
    <w:uiPriority w:val="99"/>
    <w:semiHidden/>
    <w:rsid w:val="00DA21FB"/>
    <w:pPr>
      <w:spacing w:after="0" w:line="240" w:lineRule="auto"/>
    </w:pPr>
    <w:rPr>
      <w:rFonts w:ascii="Calibri" w:eastAsia="Times New Roman" w:hAnsi="Calibri" w:cs="Times New Roman"/>
    </w:rPr>
  </w:style>
  <w:style w:type="character" w:customStyle="1" w:styleId="Estilo1Carcter">
    <w:name w:val="Estilo1 Carácter"/>
    <w:basedOn w:val="Tipodeletrapredefinidodopargrafo"/>
    <w:link w:val="Estilo1"/>
    <w:rsid w:val="00DA21FB"/>
    <w:rPr>
      <w:rFonts w:ascii="Times New Roman" w:eastAsia="Times New Roman" w:hAnsi="Times New Roman" w:cs="Times New Roman"/>
      <w:b/>
      <w:sz w:val="24"/>
      <w:szCs w:val="24"/>
    </w:rPr>
  </w:style>
  <w:style w:type="paragraph" w:styleId="ndice2">
    <w:name w:val="toc 2"/>
    <w:basedOn w:val="Normal"/>
    <w:next w:val="Normal"/>
    <w:autoRedefine/>
    <w:uiPriority w:val="39"/>
    <w:rsid w:val="00DA21FB"/>
    <w:pPr>
      <w:spacing w:after="100"/>
      <w:ind w:left="220"/>
    </w:pPr>
  </w:style>
  <w:style w:type="paragraph" w:styleId="ndicedeilustraes">
    <w:name w:val="table of figures"/>
    <w:basedOn w:val="Normal"/>
    <w:next w:val="Normal"/>
    <w:uiPriority w:val="99"/>
    <w:rsid w:val="00DA21FB"/>
    <w:pPr>
      <w:spacing w:after="0"/>
    </w:pPr>
  </w:style>
  <w:style w:type="paragraph" w:styleId="ndice3">
    <w:name w:val="toc 3"/>
    <w:basedOn w:val="Normal"/>
    <w:next w:val="Normal"/>
    <w:autoRedefine/>
    <w:uiPriority w:val="39"/>
    <w:unhideWhenUsed/>
    <w:rsid w:val="00DA21FB"/>
    <w:pPr>
      <w:spacing w:after="100"/>
      <w:ind w:left="440"/>
    </w:pPr>
    <w:rPr>
      <w:rFonts w:asciiTheme="minorHAnsi" w:eastAsiaTheme="minorEastAsia" w:hAnsiTheme="minorHAnsi" w:cstheme="minorBidi"/>
      <w:lang w:eastAsia="pt-PT"/>
    </w:rPr>
  </w:style>
  <w:style w:type="paragraph" w:styleId="ndice4">
    <w:name w:val="toc 4"/>
    <w:basedOn w:val="Normal"/>
    <w:next w:val="Normal"/>
    <w:autoRedefine/>
    <w:uiPriority w:val="39"/>
    <w:unhideWhenUsed/>
    <w:rsid w:val="00DA21FB"/>
    <w:pPr>
      <w:spacing w:after="100"/>
      <w:ind w:left="660"/>
    </w:pPr>
    <w:rPr>
      <w:rFonts w:asciiTheme="minorHAnsi" w:eastAsiaTheme="minorEastAsia" w:hAnsiTheme="minorHAnsi" w:cstheme="minorBidi"/>
      <w:lang w:eastAsia="pt-PT"/>
    </w:rPr>
  </w:style>
  <w:style w:type="paragraph" w:styleId="ndice5">
    <w:name w:val="toc 5"/>
    <w:basedOn w:val="Normal"/>
    <w:next w:val="Normal"/>
    <w:autoRedefine/>
    <w:uiPriority w:val="39"/>
    <w:unhideWhenUsed/>
    <w:rsid w:val="00DA21FB"/>
    <w:pPr>
      <w:spacing w:after="100"/>
      <w:ind w:left="880"/>
    </w:pPr>
    <w:rPr>
      <w:rFonts w:asciiTheme="minorHAnsi" w:eastAsiaTheme="minorEastAsia" w:hAnsiTheme="minorHAnsi" w:cstheme="minorBidi"/>
      <w:lang w:eastAsia="pt-PT"/>
    </w:rPr>
  </w:style>
  <w:style w:type="paragraph" w:styleId="ndice6">
    <w:name w:val="toc 6"/>
    <w:basedOn w:val="Normal"/>
    <w:next w:val="Normal"/>
    <w:autoRedefine/>
    <w:uiPriority w:val="39"/>
    <w:unhideWhenUsed/>
    <w:rsid w:val="00DA21FB"/>
    <w:pPr>
      <w:spacing w:after="100"/>
      <w:ind w:left="1100"/>
    </w:pPr>
    <w:rPr>
      <w:rFonts w:asciiTheme="minorHAnsi" w:eastAsiaTheme="minorEastAsia" w:hAnsiTheme="minorHAnsi" w:cstheme="minorBidi"/>
      <w:lang w:eastAsia="pt-PT"/>
    </w:rPr>
  </w:style>
  <w:style w:type="paragraph" w:styleId="ndice7">
    <w:name w:val="toc 7"/>
    <w:basedOn w:val="Normal"/>
    <w:next w:val="Normal"/>
    <w:autoRedefine/>
    <w:uiPriority w:val="39"/>
    <w:unhideWhenUsed/>
    <w:rsid w:val="00DA21FB"/>
    <w:pPr>
      <w:spacing w:after="100"/>
      <w:ind w:left="1320"/>
    </w:pPr>
    <w:rPr>
      <w:rFonts w:asciiTheme="minorHAnsi" w:eastAsiaTheme="minorEastAsia" w:hAnsiTheme="minorHAnsi" w:cstheme="minorBidi"/>
      <w:lang w:eastAsia="pt-PT"/>
    </w:rPr>
  </w:style>
  <w:style w:type="paragraph" w:styleId="ndice8">
    <w:name w:val="toc 8"/>
    <w:basedOn w:val="Normal"/>
    <w:next w:val="Normal"/>
    <w:autoRedefine/>
    <w:uiPriority w:val="39"/>
    <w:unhideWhenUsed/>
    <w:rsid w:val="00DA21FB"/>
    <w:pPr>
      <w:spacing w:after="100"/>
      <w:ind w:left="1540"/>
    </w:pPr>
    <w:rPr>
      <w:rFonts w:asciiTheme="minorHAnsi" w:eastAsiaTheme="minorEastAsia" w:hAnsiTheme="minorHAnsi" w:cstheme="minorBidi"/>
      <w:lang w:eastAsia="pt-PT"/>
    </w:rPr>
  </w:style>
  <w:style w:type="paragraph" w:styleId="ndice9">
    <w:name w:val="toc 9"/>
    <w:basedOn w:val="Normal"/>
    <w:next w:val="Normal"/>
    <w:autoRedefine/>
    <w:uiPriority w:val="39"/>
    <w:unhideWhenUsed/>
    <w:rsid w:val="00DA21FB"/>
    <w:pPr>
      <w:spacing w:after="100"/>
      <w:ind w:left="1760"/>
    </w:pPr>
    <w:rPr>
      <w:rFonts w:asciiTheme="minorHAnsi" w:eastAsiaTheme="minorEastAsia" w:hAnsiTheme="minorHAnsi" w:cstheme="minorBidi"/>
      <w:lang w:eastAsia="pt-PT"/>
    </w:rPr>
  </w:style>
  <w:style w:type="numbering" w:customStyle="1" w:styleId="Estilo2">
    <w:name w:val="Estilo2"/>
    <w:uiPriority w:val="99"/>
    <w:rsid w:val="00DA21FB"/>
    <w:pPr>
      <w:numPr>
        <w:numId w:val="13"/>
      </w:numPr>
    </w:pPr>
  </w:style>
  <w:style w:type="numbering" w:customStyle="1" w:styleId="Estilo3">
    <w:name w:val="Estilo3"/>
    <w:uiPriority w:val="99"/>
    <w:rsid w:val="00DA21FB"/>
    <w:pPr>
      <w:numPr>
        <w:numId w:val="16"/>
      </w:numPr>
    </w:pPr>
  </w:style>
  <w:style w:type="numbering" w:customStyle="1" w:styleId="Estilo4">
    <w:name w:val="Estilo4"/>
    <w:uiPriority w:val="99"/>
    <w:rsid w:val="00DA21FB"/>
    <w:pPr>
      <w:numPr>
        <w:numId w:val="19"/>
      </w:numPr>
    </w:pPr>
  </w:style>
  <w:style w:type="paragraph" w:customStyle="1" w:styleId="Cabealhos">
    <w:name w:val="Cabeçalhos"/>
    <w:basedOn w:val="Estilo1"/>
    <w:link w:val="CabealhosCarcter"/>
    <w:qFormat/>
    <w:rsid w:val="00DA21FB"/>
    <w:pPr>
      <w:numPr>
        <w:numId w:val="12"/>
      </w:numPr>
      <w:outlineLvl w:val="0"/>
    </w:pPr>
  </w:style>
  <w:style w:type="paragraph" w:customStyle="1" w:styleId="legendastese">
    <w:name w:val="legendas_tese"/>
    <w:basedOn w:val="Legenda"/>
    <w:link w:val="legendasteseCarcter"/>
    <w:qFormat/>
    <w:rsid w:val="00DA21FB"/>
    <w:pPr>
      <w:keepNext/>
      <w:jc w:val="center"/>
    </w:pPr>
    <w:rPr>
      <w:rFonts w:ascii="Times New Roman" w:hAnsi="Times New Roman"/>
      <w:b w:val="0"/>
      <w:color w:val="auto"/>
      <w:sz w:val="22"/>
      <w:szCs w:val="22"/>
    </w:rPr>
  </w:style>
  <w:style w:type="character" w:customStyle="1" w:styleId="CabealhosCarcter">
    <w:name w:val="Cabeçalhos Carácter"/>
    <w:basedOn w:val="Estilo1Carcter"/>
    <w:link w:val="Cabealhos"/>
    <w:rsid w:val="00DA21FB"/>
    <w:rPr>
      <w:rFonts w:ascii="Times New Roman" w:eastAsia="Times New Roman" w:hAnsi="Times New Roman" w:cs="Times New Roman"/>
      <w:b/>
      <w:sz w:val="24"/>
      <w:szCs w:val="24"/>
    </w:rPr>
  </w:style>
  <w:style w:type="character" w:customStyle="1" w:styleId="LegendaCarter">
    <w:name w:val="Legenda Caráter"/>
    <w:basedOn w:val="Tipodeletrapredefinidodopargrafo"/>
    <w:link w:val="Legenda"/>
    <w:uiPriority w:val="99"/>
    <w:rsid w:val="00DA21FB"/>
    <w:rPr>
      <w:rFonts w:ascii="Calibri" w:eastAsia="SimSun" w:hAnsi="Calibri" w:cs="Times New Roman"/>
      <w:b/>
      <w:bCs/>
      <w:color w:val="4F81BD"/>
      <w:sz w:val="18"/>
      <w:szCs w:val="18"/>
      <w:lang w:eastAsia="zh-CN"/>
    </w:rPr>
  </w:style>
  <w:style w:type="character" w:customStyle="1" w:styleId="legendasteseCarcter">
    <w:name w:val="legendas_tese Carácter"/>
    <w:basedOn w:val="LegendaCarter"/>
    <w:link w:val="legendastese"/>
    <w:rsid w:val="00DA21FB"/>
    <w:rPr>
      <w:rFonts w:ascii="Times New Roman" w:eastAsia="SimSun" w:hAnsi="Times New Roman" w:cs="Times New Roman"/>
      <w:b/>
      <w:bCs/>
      <w:color w:val="4F81BD"/>
      <w:sz w:val="18"/>
      <w:szCs w:val="18"/>
      <w:lang w:eastAsia="zh-CN"/>
    </w:rPr>
  </w:style>
  <w:style w:type="character" w:styleId="Refdenotadefim">
    <w:name w:val="endnote reference"/>
    <w:basedOn w:val="Tipodeletrapredefinidodopargrafo"/>
    <w:uiPriority w:val="99"/>
    <w:semiHidden/>
    <w:unhideWhenUsed/>
    <w:rsid w:val="00B654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eari.mctes.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un.org" TargetMode="External"/><Relationship Id="rId3" Type="http://schemas.openxmlformats.org/officeDocument/2006/relationships/hyperlink" Target="http://www.pexbrasil.com.br" TargetMode="External"/><Relationship Id="rId7" Type="http://schemas.openxmlformats.org/officeDocument/2006/relationships/hyperlink" Target="http://www.minfin.gov.ao" TargetMode="External"/><Relationship Id="rId2" Type="http://schemas.openxmlformats.org/officeDocument/2006/relationships/hyperlink" Target="http://www.cplp.org" TargetMode="External"/><Relationship Id="rId1" Type="http://schemas.openxmlformats.org/officeDocument/2006/relationships/hyperlink" Target="http://www.minfin.gov.ao" TargetMode="External"/><Relationship Id="rId6" Type="http://schemas.openxmlformats.org/officeDocument/2006/relationships/hyperlink" Target="http://www.ipad.pt" TargetMode="External"/><Relationship Id="rId5" Type="http://schemas.openxmlformats.org/officeDocument/2006/relationships/hyperlink" Target="http://www.gpeari.mctes.pt" TargetMode="External"/><Relationship Id="rId4" Type="http://schemas.openxmlformats.org/officeDocument/2006/relationships/hyperlink" Target="http://www.cplp.org" TargetMode="External"/><Relationship Id="rId9" Type="http://schemas.openxmlformats.org/officeDocument/2006/relationships/hyperlink" Target="mailto:Ermelinda.liberato@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018401075852272"/>
          <c:y val="5.6857563460081875E-2"/>
          <c:w val="0.88397745361198465"/>
          <c:h val="0.51316888293527629"/>
        </c:manualLayout>
      </c:layout>
      <c:barChart>
        <c:barDir val="col"/>
        <c:grouping val="clustered"/>
        <c:varyColors val="0"/>
        <c:ser>
          <c:idx val="0"/>
          <c:order val="0"/>
          <c:tx>
            <c:strRef>
              <c:f>Sheet1!$B$1</c:f>
              <c:strCache>
                <c:ptCount val="1"/>
                <c:pt idx="0">
                  <c:v>Estudantes Angolanos em Portugal</c:v>
                </c:pt>
              </c:strCache>
            </c:strRef>
          </c:tx>
          <c:invertIfNegative val="0"/>
          <c:cat>
            <c:strRef>
              <c:f>Sheet1!$A$2:$A$13</c:f>
              <c:strCache>
                <c:ptCount val="12"/>
                <c:pt idx="0">
                  <c:v>1961/62</c:v>
                </c:pt>
                <c:pt idx="1">
                  <c:v>1962/63</c:v>
                </c:pt>
                <c:pt idx="2">
                  <c:v>1963/64</c:v>
                </c:pt>
                <c:pt idx="3">
                  <c:v>1964/65</c:v>
                </c:pt>
                <c:pt idx="4">
                  <c:v>1965/66</c:v>
                </c:pt>
                <c:pt idx="5">
                  <c:v>1966/67</c:v>
                </c:pt>
                <c:pt idx="6">
                  <c:v>1967/68</c:v>
                </c:pt>
                <c:pt idx="7">
                  <c:v>1968/69</c:v>
                </c:pt>
                <c:pt idx="8">
                  <c:v>1969/70</c:v>
                </c:pt>
                <c:pt idx="9">
                  <c:v>1970/71</c:v>
                </c:pt>
                <c:pt idx="10">
                  <c:v>1971/72</c:v>
                </c:pt>
                <c:pt idx="11">
                  <c:v>1972/73</c:v>
                </c:pt>
              </c:strCache>
            </c:strRef>
          </c:cat>
          <c:val>
            <c:numRef>
              <c:f>Sheet1!$B$2:$B$13</c:f>
              <c:numCache>
                <c:formatCode>General</c:formatCode>
                <c:ptCount val="12"/>
                <c:pt idx="0">
                  <c:v>855</c:v>
                </c:pt>
                <c:pt idx="1">
                  <c:v>896</c:v>
                </c:pt>
                <c:pt idx="2">
                  <c:v>839</c:v>
                </c:pt>
                <c:pt idx="3">
                  <c:v>951</c:v>
                </c:pt>
                <c:pt idx="4">
                  <c:v>1035</c:v>
                </c:pt>
                <c:pt idx="5">
                  <c:v>1065</c:v>
                </c:pt>
                <c:pt idx="6">
                  <c:v>1200</c:v>
                </c:pt>
                <c:pt idx="7">
                  <c:v>1172</c:v>
                </c:pt>
                <c:pt idx="8">
                  <c:v>1305</c:v>
                </c:pt>
                <c:pt idx="9">
                  <c:v>1297</c:v>
                </c:pt>
                <c:pt idx="10">
                  <c:v>1345</c:v>
                </c:pt>
                <c:pt idx="11">
                  <c:v>1337</c:v>
                </c:pt>
              </c:numCache>
            </c:numRef>
          </c:val>
          <c:extLst>
            <c:ext xmlns:c16="http://schemas.microsoft.com/office/drawing/2014/chart" uri="{C3380CC4-5D6E-409C-BE32-E72D297353CC}">
              <c16:uniqueId val="{00000000-0298-41F1-8EC6-0F63AD735161}"/>
            </c:ext>
          </c:extLst>
        </c:ser>
        <c:ser>
          <c:idx val="1"/>
          <c:order val="1"/>
          <c:tx>
            <c:strRef>
              <c:f>Sheet1!$C$1</c:f>
              <c:strCache>
                <c:ptCount val="1"/>
                <c:pt idx="0">
                  <c:v>Estudos Gerais - Angola</c:v>
                </c:pt>
              </c:strCache>
            </c:strRef>
          </c:tx>
          <c:invertIfNegative val="0"/>
          <c:cat>
            <c:strRef>
              <c:f>Sheet1!$A$2:$A$13</c:f>
              <c:strCache>
                <c:ptCount val="12"/>
                <c:pt idx="0">
                  <c:v>1961/62</c:v>
                </c:pt>
                <c:pt idx="1">
                  <c:v>1962/63</c:v>
                </c:pt>
                <c:pt idx="2">
                  <c:v>1963/64</c:v>
                </c:pt>
                <c:pt idx="3">
                  <c:v>1964/65</c:v>
                </c:pt>
                <c:pt idx="4">
                  <c:v>1965/66</c:v>
                </c:pt>
                <c:pt idx="5">
                  <c:v>1966/67</c:v>
                </c:pt>
                <c:pt idx="6">
                  <c:v>1967/68</c:v>
                </c:pt>
                <c:pt idx="7">
                  <c:v>1968/69</c:v>
                </c:pt>
                <c:pt idx="8">
                  <c:v>1969/70</c:v>
                </c:pt>
                <c:pt idx="9">
                  <c:v>1970/71</c:v>
                </c:pt>
                <c:pt idx="10">
                  <c:v>1971/72</c:v>
                </c:pt>
                <c:pt idx="11">
                  <c:v>1972/73</c:v>
                </c:pt>
              </c:strCache>
            </c:strRef>
          </c:cat>
          <c:val>
            <c:numRef>
              <c:f>Sheet1!$C$2:$C$13</c:f>
              <c:numCache>
                <c:formatCode>General</c:formatCode>
                <c:ptCount val="12"/>
                <c:pt idx="2">
                  <c:v>286</c:v>
                </c:pt>
                <c:pt idx="3">
                  <c:v>418</c:v>
                </c:pt>
                <c:pt idx="4">
                  <c:v>477</c:v>
                </c:pt>
                <c:pt idx="5">
                  <c:v>607</c:v>
                </c:pt>
                <c:pt idx="6">
                  <c:v>827</c:v>
                </c:pt>
                <c:pt idx="7">
                  <c:v>1074</c:v>
                </c:pt>
                <c:pt idx="8">
                  <c:v>1570</c:v>
                </c:pt>
                <c:pt idx="9">
                  <c:v>2125</c:v>
                </c:pt>
                <c:pt idx="10">
                  <c:v>2435</c:v>
                </c:pt>
              </c:numCache>
            </c:numRef>
          </c:val>
          <c:extLst>
            <c:ext xmlns:c16="http://schemas.microsoft.com/office/drawing/2014/chart" uri="{C3380CC4-5D6E-409C-BE32-E72D297353CC}">
              <c16:uniqueId val="{00000001-0298-41F1-8EC6-0F63AD735161}"/>
            </c:ext>
          </c:extLst>
        </c:ser>
        <c:ser>
          <c:idx val="2"/>
          <c:order val="2"/>
          <c:tx>
            <c:strRef>
              <c:f>Sheet1!$D$1</c:f>
              <c:strCache>
                <c:ptCount val="1"/>
                <c:pt idx="0">
                  <c:v>Column1</c:v>
                </c:pt>
              </c:strCache>
            </c:strRef>
          </c:tx>
          <c:invertIfNegative val="0"/>
          <c:cat>
            <c:strRef>
              <c:f>Sheet1!$A$2:$A$13</c:f>
              <c:strCache>
                <c:ptCount val="12"/>
                <c:pt idx="0">
                  <c:v>1961/62</c:v>
                </c:pt>
                <c:pt idx="1">
                  <c:v>1962/63</c:v>
                </c:pt>
                <c:pt idx="2">
                  <c:v>1963/64</c:v>
                </c:pt>
                <c:pt idx="3">
                  <c:v>1964/65</c:v>
                </c:pt>
                <c:pt idx="4">
                  <c:v>1965/66</c:v>
                </c:pt>
                <c:pt idx="5">
                  <c:v>1966/67</c:v>
                </c:pt>
                <c:pt idx="6">
                  <c:v>1967/68</c:v>
                </c:pt>
                <c:pt idx="7">
                  <c:v>1968/69</c:v>
                </c:pt>
                <c:pt idx="8">
                  <c:v>1969/70</c:v>
                </c:pt>
                <c:pt idx="9">
                  <c:v>1970/71</c:v>
                </c:pt>
                <c:pt idx="10">
                  <c:v>1971/72</c:v>
                </c:pt>
                <c:pt idx="11">
                  <c:v>1972/73</c:v>
                </c:pt>
              </c:strCache>
            </c:strRef>
          </c:cat>
          <c:val>
            <c:numRef>
              <c:f>Sheet1!$D$2:$D$13</c:f>
              <c:numCache>
                <c:formatCode>General</c:formatCode>
                <c:ptCount val="12"/>
              </c:numCache>
            </c:numRef>
          </c:val>
          <c:extLst>
            <c:ext xmlns:c16="http://schemas.microsoft.com/office/drawing/2014/chart" uri="{C3380CC4-5D6E-409C-BE32-E72D297353CC}">
              <c16:uniqueId val="{00000002-0298-41F1-8EC6-0F63AD735161}"/>
            </c:ext>
          </c:extLst>
        </c:ser>
        <c:dLbls>
          <c:showLegendKey val="0"/>
          <c:showVal val="0"/>
          <c:showCatName val="0"/>
          <c:showSerName val="0"/>
          <c:showPercent val="0"/>
          <c:showBubbleSize val="0"/>
        </c:dLbls>
        <c:gapWidth val="150"/>
        <c:axId val="161192576"/>
        <c:axId val="161198464"/>
      </c:barChart>
      <c:catAx>
        <c:axId val="161192576"/>
        <c:scaling>
          <c:orientation val="minMax"/>
        </c:scaling>
        <c:delete val="0"/>
        <c:axPos val="b"/>
        <c:numFmt formatCode="General" sourceLinked="1"/>
        <c:majorTickMark val="out"/>
        <c:minorTickMark val="none"/>
        <c:tickLblPos val="nextTo"/>
        <c:txPr>
          <a:bodyPr/>
          <a:lstStyle/>
          <a:p>
            <a:pPr>
              <a:defRPr baseline="0">
                <a:latin typeface="Times New Roman" pitchFamily="18" charset="0"/>
              </a:defRPr>
            </a:pPr>
            <a:endParaRPr lang="pt-AO"/>
          </a:p>
        </c:txPr>
        <c:crossAx val="161198464"/>
        <c:crosses val="autoZero"/>
        <c:auto val="1"/>
        <c:lblAlgn val="ctr"/>
        <c:lblOffset val="100"/>
        <c:noMultiLvlLbl val="0"/>
      </c:catAx>
      <c:valAx>
        <c:axId val="161198464"/>
        <c:scaling>
          <c:orientation val="minMax"/>
        </c:scaling>
        <c:delete val="0"/>
        <c:axPos val="l"/>
        <c:numFmt formatCode="General" sourceLinked="1"/>
        <c:majorTickMark val="out"/>
        <c:minorTickMark val="none"/>
        <c:tickLblPos val="nextTo"/>
        <c:txPr>
          <a:bodyPr/>
          <a:lstStyle/>
          <a:p>
            <a:pPr>
              <a:defRPr baseline="0">
                <a:latin typeface="Times New Roman" pitchFamily="18" charset="0"/>
              </a:defRPr>
            </a:pPr>
            <a:endParaRPr lang="pt-AO"/>
          </a:p>
        </c:txPr>
        <c:crossAx val="161192576"/>
        <c:crosses val="autoZero"/>
        <c:crossBetween val="between"/>
      </c:valAx>
    </c:plotArea>
    <c:legend>
      <c:legendPos val="r"/>
      <c:legendEntry>
        <c:idx val="2"/>
        <c:delete val="1"/>
      </c:legendEntry>
      <c:layout>
        <c:manualLayout>
          <c:xMode val="edge"/>
          <c:yMode val="edge"/>
          <c:x val="6.8530648858766183E-2"/>
          <c:y val="0.83587719584844422"/>
          <c:w val="0.79623402770856178"/>
          <c:h val="0.16275231156271444"/>
        </c:manualLayout>
      </c:layout>
      <c:overlay val="0"/>
      <c:txPr>
        <a:bodyPr/>
        <a:lstStyle/>
        <a:p>
          <a:pPr>
            <a:defRPr baseline="0">
              <a:latin typeface="Times New Roman" pitchFamily="18" charset="0"/>
            </a:defRPr>
          </a:pPr>
          <a:endParaRPr lang="pt-AO"/>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827839316697061"/>
          <c:y val="0.11994428070792826"/>
          <c:w val="0.67775924195920945"/>
          <c:h val="0.59127246931971256"/>
        </c:manualLayout>
      </c:layout>
      <c:barChart>
        <c:barDir val="col"/>
        <c:grouping val="clustered"/>
        <c:varyColors val="0"/>
        <c:ser>
          <c:idx val="0"/>
          <c:order val="0"/>
          <c:tx>
            <c:strRef>
              <c:f>Folha1!$B$1</c:f>
              <c:strCache>
                <c:ptCount val="1"/>
                <c:pt idx="0">
                  <c:v>Universidade</c:v>
                </c:pt>
              </c:strCache>
            </c:strRef>
          </c:tx>
          <c:spPr>
            <a:solidFill>
              <a:schemeClr val="tx1">
                <a:lumMod val="65000"/>
                <a:lumOff val="35000"/>
              </a:schemeClr>
            </a:solidFill>
          </c:spPr>
          <c:invertIfNegative val="0"/>
          <c:cat>
            <c:numRef>
              <c:f>Folha1!$A$2:$A$6</c:f>
              <c:numCache>
                <c:formatCode>General</c:formatCode>
                <c:ptCount val="5"/>
                <c:pt idx="0">
                  <c:v>1997</c:v>
                </c:pt>
                <c:pt idx="1">
                  <c:v>1998</c:v>
                </c:pt>
                <c:pt idx="2">
                  <c:v>1999</c:v>
                </c:pt>
                <c:pt idx="3">
                  <c:v>2000</c:v>
                </c:pt>
                <c:pt idx="4">
                  <c:v>2001</c:v>
                </c:pt>
              </c:numCache>
            </c:numRef>
          </c:cat>
          <c:val>
            <c:numRef>
              <c:f>Folha1!$B$2:$B$6</c:f>
              <c:numCache>
                <c:formatCode>General</c:formatCode>
                <c:ptCount val="5"/>
                <c:pt idx="0">
                  <c:v>13418</c:v>
                </c:pt>
                <c:pt idx="1">
                  <c:v>12913</c:v>
                </c:pt>
                <c:pt idx="2">
                  <c:v>13767</c:v>
                </c:pt>
                <c:pt idx="3">
                  <c:v>23300</c:v>
                </c:pt>
                <c:pt idx="4">
                  <c:v>31702</c:v>
                </c:pt>
              </c:numCache>
            </c:numRef>
          </c:val>
          <c:extLst>
            <c:ext xmlns:c16="http://schemas.microsoft.com/office/drawing/2014/chart" uri="{C3380CC4-5D6E-409C-BE32-E72D297353CC}">
              <c16:uniqueId val="{00000000-EDE5-4BB5-B33F-1549FDA93D24}"/>
            </c:ext>
          </c:extLst>
        </c:ser>
        <c:ser>
          <c:idx val="1"/>
          <c:order val="1"/>
          <c:tx>
            <c:strRef>
              <c:f>Folha1!$C$1</c:f>
              <c:strCache>
                <c:ptCount val="1"/>
                <c:pt idx="0">
                  <c:v>Bolsas</c:v>
                </c:pt>
              </c:strCache>
            </c:strRef>
          </c:tx>
          <c:spPr>
            <a:solidFill>
              <a:schemeClr val="bg1">
                <a:lumMod val="65000"/>
              </a:schemeClr>
            </a:solidFill>
          </c:spPr>
          <c:invertIfNegative val="0"/>
          <c:cat>
            <c:numRef>
              <c:f>Folha1!$A$2:$A$6</c:f>
              <c:numCache>
                <c:formatCode>General</c:formatCode>
                <c:ptCount val="5"/>
                <c:pt idx="0">
                  <c:v>1997</c:v>
                </c:pt>
                <c:pt idx="1">
                  <c:v>1998</c:v>
                </c:pt>
                <c:pt idx="2">
                  <c:v>1999</c:v>
                </c:pt>
                <c:pt idx="3">
                  <c:v>2000</c:v>
                </c:pt>
                <c:pt idx="4">
                  <c:v>2001</c:v>
                </c:pt>
              </c:numCache>
            </c:numRef>
          </c:cat>
          <c:val>
            <c:numRef>
              <c:f>Folha1!$C$2:$C$6</c:f>
              <c:numCache>
                <c:formatCode>General</c:formatCode>
                <c:ptCount val="5"/>
                <c:pt idx="0">
                  <c:v>29138</c:v>
                </c:pt>
                <c:pt idx="1">
                  <c:v>13204</c:v>
                </c:pt>
                <c:pt idx="2">
                  <c:v>46141</c:v>
                </c:pt>
                <c:pt idx="3">
                  <c:v>30205</c:v>
                </c:pt>
                <c:pt idx="4">
                  <c:v>28091</c:v>
                </c:pt>
              </c:numCache>
            </c:numRef>
          </c:val>
          <c:extLst>
            <c:ext xmlns:c16="http://schemas.microsoft.com/office/drawing/2014/chart" uri="{C3380CC4-5D6E-409C-BE32-E72D297353CC}">
              <c16:uniqueId val="{00000001-EDE5-4BB5-B33F-1549FDA93D24}"/>
            </c:ext>
          </c:extLst>
        </c:ser>
        <c:dLbls>
          <c:showLegendKey val="0"/>
          <c:showVal val="0"/>
          <c:showCatName val="0"/>
          <c:showSerName val="0"/>
          <c:showPercent val="0"/>
          <c:showBubbleSize val="0"/>
        </c:dLbls>
        <c:gapWidth val="150"/>
        <c:axId val="161153792"/>
        <c:axId val="161155328"/>
      </c:barChart>
      <c:catAx>
        <c:axId val="161153792"/>
        <c:scaling>
          <c:orientation val="minMax"/>
        </c:scaling>
        <c:delete val="0"/>
        <c:axPos val="b"/>
        <c:numFmt formatCode="General" sourceLinked="1"/>
        <c:majorTickMark val="out"/>
        <c:minorTickMark val="none"/>
        <c:tickLblPos val="nextTo"/>
        <c:txPr>
          <a:bodyPr/>
          <a:lstStyle/>
          <a:p>
            <a:pPr>
              <a:defRPr baseline="0">
                <a:latin typeface="Times New Roman" pitchFamily="18" charset="0"/>
              </a:defRPr>
            </a:pPr>
            <a:endParaRPr lang="pt-AO"/>
          </a:p>
        </c:txPr>
        <c:crossAx val="161155328"/>
        <c:crosses val="autoZero"/>
        <c:auto val="1"/>
        <c:lblAlgn val="ctr"/>
        <c:lblOffset val="100"/>
        <c:noMultiLvlLbl val="0"/>
      </c:catAx>
      <c:valAx>
        <c:axId val="161155328"/>
        <c:scaling>
          <c:orientation val="minMax"/>
        </c:scaling>
        <c:delete val="0"/>
        <c:axPos val="l"/>
        <c:majorGridlines/>
        <c:numFmt formatCode="General" sourceLinked="1"/>
        <c:majorTickMark val="out"/>
        <c:minorTickMark val="none"/>
        <c:tickLblPos val="nextTo"/>
        <c:txPr>
          <a:bodyPr/>
          <a:lstStyle/>
          <a:p>
            <a:pPr>
              <a:defRPr baseline="0">
                <a:latin typeface="Times New Roman" pitchFamily="18" charset="0"/>
              </a:defRPr>
            </a:pPr>
            <a:endParaRPr lang="pt-AO"/>
          </a:p>
        </c:txPr>
        <c:crossAx val="161153792"/>
        <c:crosses val="autoZero"/>
        <c:crossBetween val="between"/>
      </c:valAx>
    </c:plotArea>
    <c:legend>
      <c:legendPos val="r"/>
      <c:layout>
        <c:manualLayout>
          <c:xMode val="edge"/>
          <c:yMode val="edge"/>
          <c:x val="0.18861248276170386"/>
          <c:y val="0.85921770589487123"/>
          <c:w val="0.7163699452822283"/>
          <c:h val="0.11296705230281967"/>
        </c:manualLayout>
      </c:layout>
      <c:overlay val="0"/>
      <c:txPr>
        <a:bodyPr/>
        <a:lstStyle/>
        <a:p>
          <a:pPr>
            <a:defRPr baseline="0">
              <a:latin typeface="Times New Roman" pitchFamily="18" charset="0"/>
            </a:defRPr>
          </a:pPr>
          <a:endParaRPr lang="pt-AO"/>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Folha1!$B$1</c:f>
              <c:strCache>
                <c:ptCount val="1"/>
                <c:pt idx="0">
                  <c:v>Despesas com a Educação</c:v>
                </c:pt>
              </c:strCache>
            </c:strRef>
          </c:tx>
          <c:spPr>
            <a:solidFill>
              <a:schemeClr val="bg1">
                <a:lumMod val="65000"/>
              </a:schemeClr>
            </a:solidFill>
          </c:spPr>
          <c:invertIfNegative val="0"/>
          <c:dPt>
            <c:idx val="1"/>
            <c:invertIfNegative val="0"/>
            <c:bubble3D val="0"/>
            <c:spPr>
              <a:solidFill>
                <a:schemeClr val="tx1">
                  <a:lumMod val="75000"/>
                  <a:lumOff val="25000"/>
                </a:schemeClr>
              </a:solidFill>
            </c:spPr>
            <c:extLst>
              <c:ext xmlns:c16="http://schemas.microsoft.com/office/drawing/2014/chart" uri="{C3380CC4-5D6E-409C-BE32-E72D297353CC}">
                <c16:uniqueId val="{00000001-AE1A-4739-A601-A8678C398ED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Folha1!$A$2:$A$10</c:f>
              <c:strCache>
                <c:ptCount val="8"/>
                <c:pt idx="0">
                  <c:v>SADC (média)</c:v>
                </c:pt>
                <c:pt idx="1">
                  <c:v>Angola</c:v>
                </c:pt>
                <c:pt idx="2">
                  <c:v>Zâmbia</c:v>
                </c:pt>
                <c:pt idx="3">
                  <c:v>Tanzânia</c:v>
                </c:pt>
                <c:pt idx="4">
                  <c:v>África do Sul</c:v>
                </c:pt>
                <c:pt idx="5">
                  <c:v>Zimbabwe</c:v>
                </c:pt>
                <c:pt idx="6">
                  <c:v>Botswana</c:v>
                </c:pt>
                <c:pt idx="7">
                  <c:v>Namíbia</c:v>
                </c:pt>
              </c:strCache>
            </c:strRef>
          </c:cat>
          <c:val>
            <c:numRef>
              <c:f>Folha1!$B$2:$B$10</c:f>
              <c:numCache>
                <c:formatCode>General</c:formatCode>
                <c:ptCount val="9"/>
                <c:pt idx="0">
                  <c:v>16.7</c:v>
                </c:pt>
                <c:pt idx="1">
                  <c:v>4.7</c:v>
                </c:pt>
                <c:pt idx="2">
                  <c:v>9.6</c:v>
                </c:pt>
                <c:pt idx="3">
                  <c:v>13.6</c:v>
                </c:pt>
                <c:pt idx="4">
                  <c:v>22.1</c:v>
                </c:pt>
                <c:pt idx="5">
                  <c:v>23</c:v>
                </c:pt>
                <c:pt idx="6">
                  <c:v>23.1</c:v>
                </c:pt>
                <c:pt idx="7">
                  <c:v>24.3</c:v>
                </c:pt>
              </c:numCache>
            </c:numRef>
          </c:val>
          <c:extLst>
            <c:ext xmlns:c16="http://schemas.microsoft.com/office/drawing/2014/chart" uri="{C3380CC4-5D6E-409C-BE32-E72D297353CC}">
              <c16:uniqueId val="{00000002-AE1A-4739-A601-A8678C398ED2}"/>
            </c:ext>
          </c:extLst>
        </c:ser>
        <c:dLbls>
          <c:showLegendKey val="0"/>
          <c:showVal val="0"/>
          <c:showCatName val="0"/>
          <c:showSerName val="0"/>
          <c:showPercent val="0"/>
          <c:showBubbleSize val="0"/>
        </c:dLbls>
        <c:gapWidth val="150"/>
        <c:axId val="161179904"/>
        <c:axId val="162938880"/>
      </c:barChart>
      <c:catAx>
        <c:axId val="161179904"/>
        <c:scaling>
          <c:orientation val="minMax"/>
        </c:scaling>
        <c:delete val="0"/>
        <c:axPos val="b"/>
        <c:numFmt formatCode="General" sourceLinked="0"/>
        <c:majorTickMark val="out"/>
        <c:minorTickMark val="none"/>
        <c:tickLblPos val="nextTo"/>
        <c:txPr>
          <a:bodyPr/>
          <a:lstStyle/>
          <a:p>
            <a:pPr>
              <a:defRPr baseline="0">
                <a:latin typeface="Times New Roman" pitchFamily="18" charset="0"/>
              </a:defRPr>
            </a:pPr>
            <a:endParaRPr lang="pt-AO"/>
          </a:p>
        </c:txPr>
        <c:crossAx val="162938880"/>
        <c:crosses val="autoZero"/>
        <c:auto val="1"/>
        <c:lblAlgn val="ctr"/>
        <c:lblOffset val="100"/>
        <c:noMultiLvlLbl val="0"/>
      </c:catAx>
      <c:valAx>
        <c:axId val="162938880"/>
        <c:scaling>
          <c:orientation val="minMax"/>
        </c:scaling>
        <c:delete val="0"/>
        <c:axPos val="l"/>
        <c:majorGridlines/>
        <c:numFmt formatCode="General" sourceLinked="1"/>
        <c:majorTickMark val="out"/>
        <c:minorTickMark val="none"/>
        <c:tickLblPos val="nextTo"/>
        <c:crossAx val="1611799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8541F-20E6-4B69-96C0-D20A7E41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5114</Words>
  <Characters>29154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Ermelinda Liberato</dc:creator>
  <cp:lastModifiedBy>ermelinda liberato</cp:lastModifiedBy>
  <cp:revision>5</cp:revision>
  <dcterms:created xsi:type="dcterms:W3CDTF">2017-03-04T19:42:00Z</dcterms:created>
  <dcterms:modified xsi:type="dcterms:W3CDTF">2017-03-04T20:48:00Z</dcterms:modified>
</cp:coreProperties>
</file>